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olors1.xml" ContentType="application/vnd.ms-office.chartcolorstyle+xml"/>
  <Override PartName="/word/charts/colors2.xml" ContentType="application/vnd.ms-office.chartcolorstyle+xml"/>
  <Override PartName="/word/charts/style1.xml" ContentType="application/vnd.ms-office.chartstyle+xml"/>
  <Override PartName="/word/charts/style2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8285C1">
      <w:pPr>
        <w:widowControl/>
        <w:adjustRightInd w:val="0"/>
        <w:snapToGrid w:val="0"/>
        <w:jc w:val="center"/>
        <w:rPr>
          <w:rFonts w:ascii="Times New Roman" w:hAnsi="Times New Roman" w:eastAsia="方正小标宋简体" w:cs="Times New Roman"/>
          <w:kern w:val="0"/>
          <w:sz w:val="42"/>
          <w:szCs w:val="44"/>
        </w:rPr>
      </w:pPr>
      <w:r>
        <w:rPr>
          <w:rFonts w:ascii="Times New Roman" w:hAnsi="Times New Roman" w:eastAsia="方正小标宋简体" w:cs="Times New Roman"/>
          <w:kern w:val="0"/>
          <w:sz w:val="42"/>
          <w:szCs w:val="44"/>
        </w:rPr>
        <w:t>20</w:t>
      </w:r>
      <w:r>
        <w:rPr>
          <w:rFonts w:ascii="Times New Roman" w:hAnsi="Times New Roman" w:eastAsia="方正小标宋简体" w:cs="Times New Roman"/>
          <w:kern w:val="0"/>
          <w:sz w:val="42"/>
          <w:szCs w:val="44"/>
          <w:lang w:val="en"/>
        </w:rPr>
        <w:t>2</w:t>
      </w:r>
      <w:r>
        <w:rPr>
          <w:rFonts w:hint="eastAsia" w:ascii="Times New Roman" w:hAnsi="Times New Roman" w:eastAsia="方正小标宋简体" w:cs="Times New Roman"/>
          <w:kern w:val="0"/>
          <w:sz w:val="42"/>
          <w:szCs w:val="44"/>
          <w:lang w:val="en-US" w:eastAsia="zh-CN"/>
        </w:rPr>
        <w:t>3</w:t>
      </w:r>
      <w:r>
        <w:rPr>
          <w:rFonts w:ascii="Times New Roman" w:hAnsi="Times New Roman" w:eastAsia="方正小标宋简体" w:cs="Times New Roman"/>
          <w:kern w:val="0"/>
          <w:sz w:val="42"/>
          <w:szCs w:val="44"/>
        </w:rPr>
        <w:t>年</w:t>
      </w:r>
      <w:r>
        <w:rPr>
          <w:rFonts w:hint="eastAsia" w:ascii="Times New Roman" w:hAnsi="Times New Roman" w:eastAsia="方正小标宋简体" w:cs="Times New Roman"/>
          <w:kern w:val="0"/>
          <w:sz w:val="42"/>
          <w:szCs w:val="44"/>
          <w:lang w:val="en-US" w:eastAsia="zh-CN"/>
        </w:rPr>
        <w:t>淮阳区</w:t>
      </w:r>
      <w:r>
        <w:rPr>
          <w:rFonts w:ascii="Times New Roman" w:hAnsi="Times New Roman" w:eastAsia="方正小标宋简体" w:cs="Times New Roman"/>
          <w:kern w:val="0"/>
          <w:sz w:val="42"/>
          <w:szCs w:val="44"/>
        </w:rPr>
        <w:t>国民经济和社会发展统计公报</w:t>
      </w:r>
    </w:p>
    <w:p w14:paraId="70091758"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宋体" w:eastAsia="宋体" w:cs="Times New Roman"/>
          <w:color w:val="auto"/>
          <w:lang w:val="en-US" w:eastAsia="zh-CN"/>
        </w:rPr>
      </w:pPr>
      <w:r>
        <w:rPr>
          <w:rFonts w:hint="eastAsia" w:ascii="Times New Roman" w:hAnsi="宋体" w:eastAsia="宋体" w:cs="Times New Roman"/>
          <w:color w:val="auto"/>
          <w:lang w:val="en-US" w:eastAsia="zh-CN"/>
        </w:rPr>
        <w:t>202</w:t>
      </w:r>
      <w:r>
        <w:rPr>
          <w:rFonts w:hint="eastAsia" w:ascii="Times New Roman" w:hAnsi="宋体" w:cs="Times New Roman"/>
          <w:color w:val="auto"/>
          <w:lang w:val="en-US" w:eastAsia="zh-CN"/>
        </w:rPr>
        <w:t>3</w:t>
      </w:r>
      <w:r>
        <w:rPr>
          <w:rFonts w:hint="eastAsia" w:ascii="Times New Roman" w:hAnsi="宋体" w:eastAsia="宋体" w:cs="Times New Roman"/>
          <w:color w:val="auto"/>
          <w:lang w:val="en-US" w:eastAsia="zh-CN"/>
        </w:rPr>
        <w:t>年，面对国内外复杂形势，全区上下在区委区政府的坚强领导下，认真学习贯彻落实党的二十大精神，认真落实中央、省市各项决策部署，坚持稳字当头、稳中求进工作总基调，狠抓稳经济各项政策措施落实落细，着力推动经济加快恢复与高质量发展，全</w:t>
      </w:r>
      <w:r>
        <w:rPr>
          <w:rFonts w:hint="eastAsia" w:ascii="Times New Roman" w:hAnsi="宋体" w:cs="Times New Roman"/>
          <w:color w:val="auto"/>
          <w:lang w:val="en-US" w:eastAsia="zh-CN"/>
        </w:rPr>
        <w:t>区</w:t>
      </w:r>
      <w:r>
        <w:rPr>
          <w:rFonts w:hint="eastAsia" w:ascii="Times New Roman" w:hAnsi="宋体" w:eastAsia="宋体" w:cs="Times New Roman"/>
          <w:color w:val="auto"/>
          <w:lang w:val="en-US" w:eastAsia="zh-CN"/>
        </w:rPr>
        <w:t>经济运行持续向好、高质量发展步伐坚实。</w:t>
      </w:r>
    </w:p>
    <w:p w14:paraId="2A64CC6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ascii="宋体" w:hAnsi="宋体" w:cs="宋体"/>
          <w:b/>
          <w:sz w:val="28"/>
          <w:szCs w:val="28"/>
          <w:highlight w:val="none"/>
        </w:rPr>
      </w:pPr>
      <w:r>
        <w:rPr>
          <w:rFonts w:hint="eastAsia" w:ascii="宋体" w:hAnsi="宋体" w:cs="宋体"/>
          <w:b/>
          <w:sz w:val="28"/>
          <w:szCs w:val="28"/>
          <w:highlight w:val="none"/>
        </w:rPr>
        <w:t>一、综  合</w:t>
      </w:r>
    </w:p>
    <w:p w14:paraId="31B78719">
      <w:pPr>
        <w:pStyle w:val="2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宋体"/>
          <w:color w:val="auto"/>
          <w:highlight w:val="none"/>
        </w:rPr>
      </w:pPr>
      <w:r>
        <w:rPr>
          <w:rFonts w:hint="eastAsia" w:ascii="Times New Roman" w:hAnsi="宋体"/>
          <w:color w:val="auto"/>
          <w:highlight w:val="none"/>
        </w:rPr>
        <w:t>初步核算，全年全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区</w:t>
      </w:r>
      <w:r>
        <w:rPr>
          <w:rFonts w:hint="eastAsia" w:ascii="Times New Roman" w:hAnsi="宋体"/>
          <w:color w:val="auto"/>
          <w:highlight w:val="none"/>
        </w:rPr>
        <w:t>生产总值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3106030万元</w:t>
      </w:r>
      <w:r>
        <w:rPr>
          <w:rFonts w:hint="eastAsia" w:ascii="Times New Roman" w:hAnsi="宋体"/>
          <w:color w:val="auto"/>
          <w:highlight w:val="none"/>
        </w:rPr>
        <w:t>，比上年增长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5.7</w:t>
      </w:r>
      <w:r>
        <w:rPr>
          <w:rFonts w:hint="eastAsia" w:ascii="Times New Roman" w:hAnsi="宋体"/>
          <w:color w:val="auto"/>
          <w:highlight w:val="none"/>
        </w:rPr>
        <w:t>%。其中，第一产业增加值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614359万元</w:t>
      </w:r>
      <w:r>
        <w:rPr>
          <w:rFonts w:hint="eastAsia" w:ascii="Times New Roman" w:hAnsi="宋体"/>
          <w:color w:val="auto"/>
          <w:highlight w:val="none"/>
        </w:rPr>
        <w:t>，增长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2.1</w:t>
      </w:r>
      <w:r>
        <w:rPr>
          <w:rFonts w:hint="eastAsia" w:ascii="Times New Roman" w:hAnsi="宋体"/>
          <w:color w:val="auto"/>
          <w:highlight w:val="none"/>
        </w:rPr>
        <w:t>%；第二产业增加值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1231120万</w:t>
      </w:r>
      <w:r>
        <w:rPr>
          <w:rFonts w:hint="eastAsia" w:ascii="Times New Roman" w:hAnsi="宋体"/>
          <w:color w:val="auto"/>
          <w:highlight w:val="none"/>
        </w:rPr>
        <w:t>元，增长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7.9</w:t>
      </w:r>
      <w:r>
        <w:rPr>
          <w:rFonts w:hint="eastAsia" w:ascii="Times New Roman" w:hAnsi="宋体"/>
          <w:color w:val="auto"/>
          <w:highlight w:val="none"/>
        </w:rPr>
        <w:t>%；第三产业增加值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1260551万</w:t>
      </w:r>
      <w:r>
        <w:rPr>
          <w:rFonts w:hint="eastAsia" w:ascii="Times New Roman" w:hAnsi="宋体"/>
          <w:color w:val="auto"/>
          <w:highlight w:val="none"/>
        </w:rPr>
        <w:t>元，增长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5.4</w:t>
      </w:r>
      <w:r>
        <w:rPr>
          <w:rFonts w:hint="eastAsia" w:ascii="Times New Roman" w:hAnsi="宋体"/>
          <w:color w:val="auto"/>
          <w:highlight w:val="none"/>
        </w:rPr>
        <w:t>%。三次产业结构为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19.8：39.6：40.6</w:t>
      </w:r>
      <w:r>
        <w:rPr>
          <w:rFonts w:hint="eastAsia" w:ascii="Times New Roman" w:hAnsi="宋体"/>
          <w:color w:val="auto"/>
          <w:highlight w:val="none"/>
        </w:rPr>
        <w:t>。全年人均地区生产总值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29639</w:t>
      </w:r>
      <w:r>
        <w:rPr>
          <w:rFonts w:hint="eastAsia" w:ascii="Times New Roman" w:hAnsi="宋体"/>
          <w:color w:val="auto"/>
          <w:highlight w:val="none"/>
        </w:rPr>
        <w:t>元。</w:t>
      </w:r>
    </w:p>
    <w:p w14:paraId="7CA5953D">
      <w:pPr>
        <w:pStyle w:val="2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0" w:firstLineChars="0"/>
        <w:jc w:val="center"/>
        <w:textAlignment w:val="auto"/>
        <w:rPr>
          <w:rFonts w:hint="eastAsia" w:ascii="宋体" w:hAnsi="宋体" w:cs="宋体"/>
          <w:b/>
          <w:bCs/>
          <w:color w:val="auto"/>
          <w:highlight w:val="none"/>
        </w:rPr>
      </w:pPr>
      <w:r>
        <w:rPr>
          <w:rFonts w:hint="eastAsia" w:ascii="宋体" w:hAnsi="宋体" w:cs="宋体"/>
          <w:b/>
          <w:bCs/>
          <w:color w:val="auto"/>
          <w:highlight w:val="none"/>
        </w:rPr>
        <w:t>图1  2017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年</w:t>
      </w:r>
      <w:r>
        <w:rPr>
          <w:rFonts w:hint="eastAsia" w:ascii="宋体" w:hAnsi="宋体" w:cs="宋体"/>
          <w:b/>
          <w:bCs/>
          <w:color w:val="auto"/>
          <w:highlight w:val="none"/>
        </w:rPr>
        <w:t>-202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3</w:t>
      </w:r>
      <w:r>
        <w:rPr>
          <w:rFonts w:hint="eastAsia" w:ascii="宋体" w:hAnsi="宋体" w:cs="宋体"/>
          <w:b/>
          <w:bCs/>
          <w:color w:val="auto"/>
          <w:highlight w:val="none"/>
        </w:rPr>
        <w:t>年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淮阳</w:t>
      </w:r>
      <w:r>
        <w:rPr>
          <w:rFonts w:hint="eastAsia" w:ascii="宋体" w:hAnsi="宋体" w:cs="宋体"/>
          <w:b/>
          <w:bCs/>
          <w:color w:val="auto"/>
          <w:highlight w:val="none"/>
        </w:rPr>
        <w:t>区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地区</w:t>
      </w:r>
      <w:r>
        <w:rPr>
          <w:rFonts w:hint="eastAsia" w:ascii="宋体" w:hAnsi="宋体" w:cs="宋体"/>
          <w:b/>
          <w:bCs/>
          <w:color w:val="auto"/>
          <w:highlight w:val="none"/>
        </w:rPr>
        <w:t>生产总值及增速</w:t>
      </w:r>
    </w:p>
    <w:p w14:paraId="44CFD712">
      <w:pPr>
        <w:pStyle w:val="2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210" w:rightChars="100" w:firstLine="0" w:firstLineChars="0"/>
        <w:jc w:val="right"/>
        <w:textAlignment w:val="auto"/>
        <w:rPr>
          <w:rFonts w:hint="default" w:ascii="宋体" w:hAnsi="宋体" w:cs="宋体"/>
          <w:b w:val="0"/>
          <w:bCs w:val="0"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auto"/>
          <w:sz w:val="21"/>
          <w:szCs w:val="21"/>
          <w:highlight w:val="none"/>
          <w:lang w:val="en-US" w:eastAsia="zh-CN"/>
        </w:rPr>
        <w:t xml:space="preserve">单位：万元 %    </w:t>
      </w:r>
    </w:p>
    <w:p w14:paraId="32F47EDF">
      <w:pPr>
        <w:pStyle w:val="21"/>
        <w:widowControl/>
        <w:spacing w:beforeAutospacing="0" w:after="150" w:afterAutospacing="0" w:line="360" w:lineRule="auto"/>
        <w:jc w:val="center"/>
        <w:rPr>
          <w:rFonts w:ascii="Times New Roman" w:hAnsi="Times New Roman"/>
          <w:szCs w:val="22"/>
          <w:highlight w:val="none"/>
          <w14:textOutline w14:w="9525">
            <w14:solidFill>
              <w14:schemeClr w14:val="accent1">
                <w14:alpha w14:val="0"/>
              </w14:schemeClr>
            </w14:solidFill>
            <w14:round/>
          </w14:textOutline>
        </w:rPr>
      </w:pPr>
      <w:r>
        <w:rPr>
          <w:rFonts w:hint="eastAsia" w:ascii="宋体" w:hAnsi="宋体" w:eastAsia="宋体" w:cs="宋体"/>
          <w:b/>
          <w:bCs/>
          <w:highlight w:val="none"/>
          <w:lang w:eastAsia="zh-CN"/>
        </w:rPr>
        <w:drawing>
          <wp:inline distT="0" distB="0" distL="114300" distR="114300">
            <wp:extent cx="5346700" cy="3124200"/>
            <wp:effectExtent l="4445" t="4445" r="20955" b="14605"/>
            <wp:docPr id="11" name="图表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4027FD1B">
      <w:pPr>
        <w:pStyle w:val="21"/>
        <w:widowControl/>
        <w:spacing w:beforeAutospacing="0" w:afterAutospacing="0" w:line="560" w:lineRule="exact"/>
        <w:ind w:firstLine="480" w:firstLineChars="200"/>
        <w:jc w:val="both"/>
        <w:rPr>
          <w:rFonts w:hint="eastAsia" w:ascii="Times New Roman" w:hAnsi="宋体"/>
          <w:color w:val="auto"/>
          <w:highlight w:val="none"/>
        </w:rPr>
      </w:pPr>
      <w:r>
        <w:rPr>
          <w:rFonts w:hint="eastAsia" w:ascii="Times New Roman" w:hAnsi="宋体"/>
          <w:color w:val="auto"/>
          <w:highlight w:val="none"/>
        </w:rPr>
        <w:t>年末全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区</w:t>
      </w:r>
      <w:r>
        <w:rPr>
          <w:rFonts w:hint="eastAsia" w:ascii="Times New Roman" w:hAnsi="宋体"/>
          <w:color w:val="auto"/>
          <w:highlight w:val="none"/>
        </w:rPr>
        <w:t>常住人口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104.69</w:t>
      </w:r>
      <w:r>
        <w:rPr>
          <w:rFonts w:hint="eastAsia" w:ascii="Times New Roman" w:hAnsi="宋体"/>
          <w:color w:val="auto"/>
          <w:highlight w:val="none"/>
        </w:rPr>
        <w:t>万人。其中，城镇人口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37.63</w:t>
      </w:r>
      <w:r>
        <w:rPr>
          <w:rFonts w:hint="eastAsia" w:ascii="Times New Roman" w:hAnsi="宋体"/>
          <w:color w:val="auto"/>
          <w:highlight w:val="none"/>
        </w:rPr>
        <w:t>万人，乡村人口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67.06</w:t>
      </w:r>
      <w:r>
        <w:rPr>
          <w:rFonts w:hint="eastAsia" w:ascii="Times New Roman" w:hAnsi="宋体"/>
          <w:color w:val="auto"/>
          <w:highlight w:val="none"/>
        </w:rPr>
        <w:t>万人，城镇化率达到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34.96</w:t>
      </w:r>
      <w:r>
        <w:rPr>
          <w:rFonts w:hint="eastAsia" w:ascii="Times New Roman" w:hAnsi="宋体"/>
          <w:color w:val="auto"/>
          <w:highlight w:val="none"/>
        </w:rPr>
        <w:t>%，比上年提高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0.98</w:t>
      </w:r>
      <w:r>
        <w:rPr>
          <w:rFonts w:hint="eastAsia" w:ascii="Times New Roman" w:hAnsi="宋体"/>
          <w:color w:val="auto"/>
          <w:highlight w:val="none"/>
        </w:rPr>
        <w:t>个百分点。全年出生人口为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0.98</w:t>
      </w:r>
      <w:r>
        <w:rPr>
          <w:rFonts w:hint="eastAsia" w:ascii="Times New Roman" w:hAnsi="宋体"/>
          <w:color w:val="auto"/>
          <w:highlight w:val="none"/>
        </w:rPr>
        <w:t>万人，死亡人口为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0.96</w:t>
      </w:r>
      <w:r>
        <w:rPr>
          <w:rFonts w:hint="eastAsia" w:ascii="Times New Roman" w:hAnsi="宋体"/>
          <w:color w:val="auto"/>
          <w:highlight w:val="none"/>
        </w:rPr>
        <w:t>万人；出生率为9.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35</w:t>
      </w:r>
      <w:r>
        <w:rPr>
          <w:rFonts w:hint="eastAsia" w:ascii="Times New Roman" w:hAnsi="宋体"/>
          <w:color w:val="auto"/>
          <w:highlight w:val="none"/>
        </w:rPr>
        <w:t>‰；死亡率为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9.16</w:t>
      </w:r>
      <w:r>
        <w:rPr>
          <w:rFonts w:hint="eastAsia" w:ascii="Times New Roman" w:hAnsi="宋体"/>
          <w:color w:val="auto"/>
          <w:highlight w:val="none"/>
        </w:rPr>
        <w:t>‰；自然增长率为0.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19</w:t>
      </w:r>
      <w:r>
        <w:rPr>
          <w:rFonts w:hint="eastAsia" w:ascii="Times New Roman" w:hAnsi="宋体"/>
          <w:color w:val="auto"/>
          <w:highlight w:val="none"/>
        </w:rPr>
        <w:t>‰。</w:t>
      </w:r>
    </w:p>
    <w:p w14:paraId="2B4A79D0">
      <w:pPr>
        <w:pStyle w:val="21"/>
        <w:widowControl/>
        <w:spacing w:beforeAutospacing="0" w:afterAutospacing="0" w:line="560" w:lineRule="exact"/>
        <w:ind w:firstLine="480" w:firstLineChars="200"/>
        <w:jc w:val="both"/>
        <w:rPr>
          <w:rFonts w:hint="eastAsia" w:ascii="Times New Roman" w:hAnsi="宋体"/>
          <w:color w:val="auto"/>
          <w:highlight w:val="none"/>
          <w:lang w:val="en-US" w:eastAsia="zh-CN"/>
        </w:rPr>
      </w:pPr>
      <w:r>
        <w:rPr>
          <w:rFonts w:hint="eastAsia" w:ascii="Times New Roman" w:hAnsi="宋体"/>
          <w:color w:val="auto"/>
          <w:highlight w:val="none"/>
          <w:lang w:val="en-US" w:eastAsia="zh-CN"/>
        </w:rPr>
        <w:t>全年全区居民消费价格指数</w:t>
      </w:r>
      <w:r>
        <w:rPr>
          <w:rFonts w:hint="eastAsia" w:ascii="Times New Roman" w:hAnsi="宋体"/>
          <w:color w:val="auto"/>
          <w:highlight w:val="none"/>
          <w:lang w:eastAsia="zh-CN"/>
        </w:rPr>
        <w:t>（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CPI</w:t>
      </w:r>
      <w:r>
        <w:rPr>
          <w:rFonts w:hint="eastAsia" w:ascii="Times New Roman" w:hAnsi="宋体"/>
          <w:color w:val="auto"/>
          <w:highlight w:val="none"/>
          <w:lang w:eastAsia="zh-CN"/>
        </w:rPr>
        <w:t>）</w:t>
      </w:r>
      <w:r>
        <w:rPr>
          <w:rFonts w:hint="eastAsia" w:ascii="Times New Roman" w:hAnsi="宋体"/>
          <w:color w:val="auto"/>
          <w:highlight w:val="none"/>
          <w:lang w:val="en-US" w:eastAsia="zh-CN"/>
        </w:rPr>
        <w:t>比上年下降0.9%。分类别看，食品烟酒类上涨0.1%，其中，粮食上涨1.5%，鲜菜下降4.2%，畜肉上涨0.2%，水产品下降2.0%，蛋类上涨5.0%，鲜果下降1.6%；衣着类与上年持平；居住类与上年持平；生活用品及服务上涨0.5%；交通和通信上升下降7.6%；教育文化和娱乐下降0.2%；医疗保健与上年持平；其他用品和服务上涨0.1%。</w:t>
      </w:r>
    </w:p>
    <w:p w14:paraId="0ADA4D9D">
      <w:pPr>
        <w:pStyle w:val="2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Style w:val="15"/>
          <w:rFonts w:ascii="Times New Roman" w:hAnsi="宋体"/>
          <w:color w:val="auto"/>
          <w:highlight w:val="none"/>
        </w:rPr>
      </w:pPr>
      <w:r>
        <w:rPr>
          <w:rStyle w:val="15"/>
          <w:rFonts w:ascii="Times New Roman" w:hAnsi="宋体"/>
          <w:color w:val="auto"/>
          <w:highlight w:val="none"/>
        </w:rPr>
        <w:t>表1</w:t>
      </w:r>
      <w:r>
        <w:rPr>
          <w:rStyle w:val="15"/>
          <w:rFonts w:hint="eastAsia" w:ascii="Times New Roman" w:hAnsi="宋体"/>
          <w:color w:val="auto"/>
          <w:highlight w:val="none"/>
        </w:rPr>
        <w:t xml:space="preserve">  </w:t>
      </w:r>
      <w:r>
        <w:rPr>
          <w:rStyle w:val="15"/>
          <w:rFonts w:ascii="Times New Roman" w:hAnsi="宋体"/>
          <w:color w:val="auto"/>
          <w:highlight w:val="none"/>
        </w:rPr>
        <w:t>20</w:t>
      </w:r>
      <w:r>
        <w:rPr>
          <w:rStyle w:val="15"/>
          <w:rFonts w:ascii="Times New Roman" w:hAnsi="宋体"/>
          <w:color w:val="auto"/>
          <w:highlight w:val="none"/>
          <w:lang w:val="en"/>
        </w:rPr>
        <w:t>2</w:t>
      </w:r>
      <w:r>
        <w:rPr>
          <w:rStyle w:val="15"/>
          <w:rFonts w:hint="eastAsia" w:ascii="Times New Roman" w:hAnsi="宋体"/>
          <w:color w:val="auto"/>
          <w:highlight w:val="none"/>
          <w:lang w:val="en-US" w:eastAsia="zh-CN"/>
        </w:rPr>
        <w:t>3</w:t>
      </w:r>
      <w:r>
        <w:rPr>
          <w:rStyle w:val="15"/>
          <w:rFonts w:ascii="Times New Roman" w:hAnsi="宋体"/>
          <w:color w:val="auto"/>
          <w:highlight w:val="none"/>
        </w:rPr>
        <w:t>年</w:t>
      </w:r>
      <w:r>
        <w:rPr>
          <w:rStyle w:val="15"/>
          <w:rFonts w:hint="eastAsia" w:ascii="Times New Roman" w:hAnsi="宋体"/>
          <w:color w:val="auto"/>
          <w:highlight w:val="none"/>
          <w:lang w:val="en-US" w:eastAsia="zh-CN"/>
        </w:rPr>
        <w:t>淮阳区</w:t>
      </w:r>
      <w:r>
        <w:rPr>
          <w:rStyle w:val="15"/>
          <w:rFonts w:ascii="Times New Roman" w:hAnsi="宋体"/>
          <w:color w:val="auto"/>
          <w:highlight w:val="none"/>
        </w:rPr>
        <w:t>居民消费价格指数</w:t>
      </w:r>
    </w:p>
    <w:tbl>
      <w:tblPr>
        <w:tblStyle w:val="13"/>
        <w:tblW w:w="7775" w:type="dxa"/>
        <w:jc w:val="center"/>
        <w:tblBorders>
          <w:top w:val="single" w:color="999999" w:sz="2" w:space="0"/>
          <w:left w:val="single" w:color="999999" w:sz="2" w:space="0"/>
          <w:bottom w:val="single" w:color="999999" w:sz="2" w:space="0"/>
          <w:right w:val="single" w:color="999999" w:sz="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19"/>
        <w:gridCol w:w="3656"/>
      </w:tblGrid>
      <w:tr w14:paraId="64C25530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8" w:hRule="atLeast"/>
          <w:jc w:val="center"/>
        </w:trPr>
        <w:tc>
          <w:tcPr>
            <w:tcW w:w="411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0478F5D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bCs/>
                <w:sz w:val="24"/>
                <w:highlight w:val="none"/>
              </w:rPr>
            </w:pPr>
            <w:r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  <w:t>类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  <w:t>别</w:t>
            </w:r>
          </w:p>
        </w:tc>
        <w:tc>
          <w:tcPr>
            <w:tcW w:w="365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nil"/>
            </w:tcBorders>
            <w:tcMar>
              <w:left w:w="105" w:type="dxa"/>
              <w:right w:w="105" w:type="dxa"/>
            </w:tcMar>
            <w:vAlign w:val="bottom"/>
          </w:tcPr>
          <w:p w14:paraId="550CB63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bCs/>
                <w:sz w:val="24"/>
                <w:highlight w:val="none"/>
                <w:lang w:val="en-US" w:eastAsia="zh-CN"/>
              </w:rPr>
            </w:pPr>
            <w:r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  <w:t>指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  <w:t>数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highlight w:val="none"/>
                <w:lang w:eastAsia="zh-CN"/>
              </w:rPr>
              <w:t>（以上年为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highlight w:val="none"/>
                <w:lang w:val="en-US" w:eastAsia="zh-CN"/>
              </w:rPr>
              <w:t>100</w:t>
            </w:r>
            <w:r>
              <w:rPr>
                <w:rFonts w:hint="eastAsia" w:ascii="Times New Roman" w:hAnsi="宋体" w:cs="Times New Roman"/>
                <w:b/>
                <w:color w:val="auto"/>
                <w:sz w:val="24"/>
                <w:highlight w:val="none"/>
                <w:lang w:eastAsia="zh-CN"/>
              </w:rPr>
              <w:t>）</w:t>
            </w:r>
          </w:p>
        </w:tc>
      </w:tr>
      <w:tr w14:paraId="26125490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17CC1FA8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居民消费价格指数</w:t>
            </w:r>
          </w:p>
        </w:tc>
        <w:tc>
          <w:tcPr>
            <w:tcW w:w="3656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0E48D6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99.1 </w:t>
            </w:r>
          </w:p>
        </w:tc>
      </w:tr>
      <w:tr w14:paraId="24184D24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37A6CA73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一、食品烟酒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4BFB48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100.1 </w:t>
            </w:r>
          </w:p>
        </w:tc>
      </w:tr>
      <w:tr w14:paraId="2C5E33DB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1CF4D056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 xml:space="preserve">      #粮食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4CE96A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101.5 </w:t>
            </w:r>
          </w:p>
        </w:tc>
      </w:tr>
      <w:tr w14:paraId="16465858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4820BADD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 xml:space="preserve">       鲜菜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3A650F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95.8 </w:t>
            </w:r>
          </w:p>
        </w:tc>
      </w:tr>
      <w:tr w14:paraId="006435AC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021608E9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26" w:firstLineChars="313"/>
              <w:jc w:val="both"/>
              <w:textAlignment w:val="auto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 xml:space="preserve">       畜肉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204EF5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100.2 </w:t>
            </w:r>
          </w:p>
        </w:tc>
      </w:tr>
      <w:tr w14:paraId="7B757118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5992268A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1014" w:firstLineChars="507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 xml:space="preserve">   水产品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569B1A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98.0 </w:t>
            </w:r>
          </w:p>
        </w:tc>
      </w:tr>
      <w:tr w14:paraId="578FC729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147DCC1B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1014" w:firstLineChars="507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 xml:space="preserve">   蛋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63003F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105.0 </w:t>
            </w:r>
          </w:p>
        </w:tc>
      </w:tr>
      <w:tr w14:paraId="1995768B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29E34BEE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1014" w:firstLineChars="507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 xml:space="preserve">   鲜果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6EEE7C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98.4 </w:t>
            </w:r>
          </w:p>
        </w:tc>
      </w:tr>
      <w:tr w14:paraId="08E5A623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5B355DBD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二、衣着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5BC2F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100.0 </w:t>
            </w:r>
          </w:p>
        </w:tc>
      </w:tr>
      <w:tr w14:paraId="4DB6E7E9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64151828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三、居住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24D17E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100.0 </w:t>
            </w:r>
          </w:p>
        </w:tc>
      </w:tr>
      <w:tr w14:paraId="5B9E66AE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57CF6EB9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四、生活用品及服务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668DF6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100.5 </w:t>
            </w:r>
          </w:p>
        </w:tc>
      </w:tr>
      <w:tr w14:paraId="26272D86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461316A2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五、交通和通信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1FB0B2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92.4 </w:t>
            </w:r>
          </w:p>
        </w:tc>
      </w:tr>
      <w:tr w14:paraId="4E4BA7F2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22E1E43E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六、教育文化和娱乐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37C5B4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99.8 </w:t>
            </w:r>
          </w:p>
        </w:tc>
      </w:tr>
      <w:tr w14:paraId="69059456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left w:w="105" w:type="dxa"/>
              <w:right w:w="105" w:type="dxa"/>
            </w:tcMar>
            <w:vAlign w:val="bottom"/>
          </w:tcPr>
          <w:p w14:paraId="6C81D9FA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>七、医疗保健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nil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1C9E10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100.0 </w:t>
            </w:r>
          </w:p>
        </w:tc>
      </w:tr>
      <w:tr w14:paraId="150E60D5">
        <w:tblPrEx>
          <w:tblBorders>
            <w:top w:val="single" w:color="999999" w:sz="2" w:space="0"/>
            <w:left w:val="single" w:color="999999" w:sz="2" w:space="0"/>
            <w:bottom w:val="single" w:color="999999" w:sz="2" w:space="0"/>
            <w:right w:val="single" w:color="999999" w:sz="2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exact"/>
          <w:jc w:val="center"/>
        </w:trPr>
        <w:tc>
          <w:tcPr>
            <w:tcW w:w="411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vAlign w:val="bottom"/>
          </w:tcPr>
          <w:p w14:paraId="4A467A74">
            <w:pPr>
              <w:pStyle w:val="21"/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150" w:afterAutospacing="0" w:line="240" w:lineRule="auto"/>
              <w:ind w:left="0" w:right="0" w:firstLine="645"/>
              <w:jc w:val="both"/>
              <w:rPr>
                <w:rFonts w:hint="default" w:ascii="宋体" w:hAnsi="宋体" w:cs="宋体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sz w:val="20"/>
                <w:szCs w:val="20"/>
                <w:highlight w:val="none"/>
              </w:rPr>
              <w:t xml:space="preserve"> 八、其他用品和服务</w:t>
            </w:r>
          </w:p>
        </w:tc>
        <w:tc>
          <w:tcPr>
            <w:tcW w:w="3656" w:type="dxa"/>
            <w:tcBorders>
              <w:top w:val="nil"/>
              <w:left w:val="single" w:color="auto" w:sz="4" w:space="0"/>
              <w:bottom w:val="single" w:color="auto" w:sz="12" w:space="0"/>
              <w:right w:val="nil"/>
            </w:tcBorders>
            <w:tcMar>
              <w:left w:w="105" w:type="dxa"/>
              <w:right w:w="105" w:type="dxa"/>
            </w:tcMar>
            <w:vAlign w:val="center"/>
          </w:tcPr>
          <w:p w14:paraId="4D9F28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630" w:rightChars="300"/>
              <w:jc w:val="right"/>
              <w:textAlignment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highlight w:val="none"/>
                <w:lang w:val="en-US" w:eastAsia="zh-CN" w:bidi="ar-SA"/>
              </w:rPr>
              <w:t xml:space="preserve">100.1 </w:t>
            </w:r>
          </w:p>
        </w:tc>
      </w:tr>
    </w:tbl>
    <w:p w14:paraId="4EC59E7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sz w:val="28"/>
          <w:szCs w:val="28"/>
          <w:highlight w:val="none"/>
        </w:rPr>
      </w:pPr>
      <w:r>
        <w:rPr>
          <w:rFonts w:hint="eastAsia" w:ascii="宋体" w:hAnsi="宋体" w:cs="宋体"/>
          <w:b/>
          <w:sz w:val="28"/>
          <w:szCs w:val="28"/>
          <w:highlight w:val="none"/>
        </w:rPr>
        <w:t>二、农  业</w:t>
      </w:r>
    </w:p>
    <w:p w14:paraId="21493DFB">
      <w:pPr>
        <w:pStyle w:val="2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宋体"/>
          <w:color w:val="auto"/>
          <w:highlight w:val="none"/>
          <w:lang w:val="en-US" w:eastAsia="zh-CN"/>
        </w:rPr>
      </w:pPr>
      <w:r>
        <w:rPr>
          <w:rFonts w:hint="eastAsia" w:ascii="Times New Roman" w:hAnsi="宋体"/>
          <w:color w:val="auto"/>
          <w:highlight w:val="none"/>
          <w:lang w:val="en-US" w:eastAsia="zh-CN"/>
        </w:rPr>
        <w:t>全年全区农林牧渔业总产值1204344万元。其中，农业总产值764644万元，林业总产值7080万元，畜牧业总产值312833万元，渔业总产值12205万元，农林牧渔服务业总产值107582万元。</w:t>
      </w:r>
    </w:p>
    <w:p w14:paraId="1F9419CD"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jc w:val="both"/>
        <w:textAlignment w:val="auto"/>
        <w:rPr>
          <w:rFonts w:hint="eastAsia" w:ascii="Times New Roman" w:hAnsi="宋体" w:eastAsia="宋体"/>
          <w:color w:val="auto"/>
        </w:rPr>
      </w:pPr>
      <w:r>
        <w:rPr>
          <w:rFonts w:hint="eastAsia" w:ascii="Times New Roman" w:hAnsi="宋体"/>
          <w:color w:val="auto"/>
          <w:lang w:val="en-US" w:eastAsia="zh-CN"/>
        </w:rPr>
        <w:t>全年</w:t>
      </w:r>
      <w:r>
        <w:rPr>
          <w:rFonts w:hint="eastAsia" w:ascii="Times New Roman" w:hAnsi="宋体" w:eastAsia="宋体"/>
          <w:color w:val="auto"/>
        </w:rPr>
        <w:t>全</w:t>
      </w:r>
      <w:r>
        <w:rPr>
          <w:rFonts w:hint="eastAsia" w:ascii="Times New Roman" w:hAnsi="宋体"/>
          <w:color w:val="auto"/>
          <w:lang w:eastAsia="zh-CN"/>
        </w:rPr>
        <w:t>区</w:t>
      </w:r>
      <w:r>
        <w:rPr>
          <w:rFonts w:hint="eastAsia" w:ascii="Times New Roman" w:hAnsi="宋体" w:eastAsia="宋体"/>
          <w:color w:val="auto"/>
        </w:rPr>
        <w:t>粮食播种面积</w:t>
      </w:r>
      <w:r>
        <w:rPr>
          <w:rFonts w:hint="eastAsia" w:ascii="Times New Roman" w:hAnsi="宋体"/>
          <w:color w:val="auto"/>
          <w:lang w:val="en-US" w:eastAsia="zh-CN"/>
        </w:rPr>
        <w:t>225.65</w:t>
      </w:r>
      <w:r>
        <w:rPr>
          <w:rFonts w:hint="eastAsia" w:ascii="Times New Roman" w:hAnsi="宋体" w:eastAsia="宋体"/>
          <w:color w:val="auto"/>
        </w:rPr>
        <w:t>万亩，总产量</w:t>
      </w:r>
      <w:r>
        <w:rPr>
          <w:rFonts w:hint="eastAsia" w:ascii="Times New Roman" w:hAnsi="宋体"/>
          <w:color w:val="auto"/>
          <w:lang w:val="en-US" w:eastAsia="zh-CN"/>
        </w:rPr>
        <w:t>99.68</w:t>
      </w:r>
      <w:r>
        <w:rPr>
          <w:rFonts w:hint="eastAsia" w:ascii="Times New Roman" w:hAnsi="宋体" w:eastAsia="宋体"/>
          <w:color w:val="auto"/>
        </w:rPr>
        <w:t>万吨，</w:t>
      </w:r>
      <w:r>
        <w:rPr>
          <w:rFonts w:hint="eastAsia" w:ascii="Times New Roman" w:hAnsi="宋体"/>
          <w:color w:val="auto"/>
          <w:lang w:eastAsia="zh-CN"/>
        </w:rPr>
        <w:t>减产</w:t>
      </w:r>
      <w:r>
        <w:rPr>
          <w:rFonts w:hint="eastAsia" w:ascii="Times New Roman" w:hAnsi="宋体"/>
          <w:color w:val="auto"/>
          <w:lang w:val="en-US" w:eastAsia="zh-CN"/>
        </w:rPr>
        <w:t>3.3</w:t>
      </w:r>
      <w:r>
        <w:rPr>
          <w:rFonts w:hint="eastAsia" w:ascii="Times New Roman" w:hAnsi="宋体" w:eastAsia="宋体"/>
          <w:color w:val="auto"/>
        </w:rPr>
        <w:t>%。其中，夏粮播种面积</w:t>
      </w:r>
      <w:r>
        <w:rPr>
          <w:rFonts w:hint="eastAsia" w:ascii="Times New Roman" w:hAnsi="宋体"/>
          <w:color w:val="auto"/>
          <w:lang w:val="en-US" w:eastAsia="zh-CN"/>
        </w:rPr>
        <w:t>116</w:t>
      </w:r>
      <w:r>
        <w:rPr>
          <w:rFonts w:hint="eastAsia" w:ascii="Times New Roman" w:hAnsi="宋体" w:eastAsia="宋体"/>
          <w:color w:val="auto"/>
        </w:rPr>
        <w:t>.</w:t>
      </w:r>
      <w:r>
        <w:rPr>
          <w:rFonts w:hint="eastAsia" w:ascii="Times New Roman" w:hAnsi="宋体" w:eastAsia="宋体"/>
          <w:color w:val="auto"/>
          <w:lang w:val="en-US" w:eastAsia="zh-CN"/>
        </w:rPr>
        <w:t>60</w:t>
      </w:r>
      <w:r>
        <w:rPr>
          <w:rFonts w:hint="eastAsia" w:ascii="Times New Roman" w:hAnsi="宋体" w:eastAsia="宋体"/>
          <w:color w:val="auto"/>
        </w:rPr>
        <w:t>万亩，总产量</w:t>
      </w:r>
      <w:r>
        <w:rPr>
          <w:rFonts w:hint="eastAsia" w:ascii="Times New Roman" w:hAnsi="宋体"/>
          <w:color w:val="auto"/>
          <w:lang w:val="en-US" w:eastAsia="zh-CN"/>
        </w:rPr>
        <w:t>53.78</w:t>
      </w:r>
      <w:r>
        <w:rPr>
          <w:rFonts w:hint="eastAsia" w:ascii="Times New Roman" w:hAnsi="宋体" w:eastAsia="宋体"/>
          <w:color w:val="auto"/>
        </w:rPr>
        <w:t>万吨，</w:t>
      </w:r>
      <w:r>
        <w:rPr>
          <w:rFonts w:hint="eastAsia" w:ascii="Times New Roman" w:hAnsi="宋体"/>
          <w:color w:val="auto"/>
          <w:lang w:eastAsia="zh-CN"/>
        </w:rPr>
        <w:t>减产</w:t>
      </w:r>
      <w:r>
        <w:rPr>
          <w:rFonts w:hint="eastAsia" w:ascii="Times New Roman" w:hAnsi="宋体"/>
          <w:color w:val="auto"/>
          <w:lang w:val="en-US" w:eastAsia="zh-CN"/>
        </w:rPr>
        <w:t>8.8</w:t>
      </w:r>
      <w:r>
        <w:rPr>
          <w:rFonts w:hint="eastAsia" w:ascii="Times New Roman" w:hAnsi="宋体" w:eastAsia="宋体"/>
          <w:color w:val="auto"/>
        </w:rPr>
        <w:t>%；秋粮播种面积</w:t>
      </w:r>
      <w:r>
        <w:rPr>
          <w:rFonts w:hint="eastAsia" w:ascii="Times New Roman" w:hAnsi="宋体"/>
          <w:color w:val="auto"/>
          <w:lang w:val="en-US" w:eastAsia="zh-CN"/>
        </w:rPr>
        <w:t>109.05</w:t>
      </w:r>
      <w:r>
        <w:rPr>
          <w:rFonts w:hint="eastAsia" w:ascii="Times New Roman" w:hAnsi="宋体" w:eastAsia="宋体"/>
          <w:color w:val="auto"/>
        </w:rPr>
        <w:t>万亩，总产量</w:t>
      </w:r>
      <w:r>
        <w:rPr>
          <w:rFonts w:hint="eastAsia" w:ascii="Times New Roman" w:hAnsi="宋体"/>
          <w:color w:val="auto"/>
          <w:lang w:val="en-US" w:eastAsia="zh-CN"/>
        </w:rPr>
        <w:t>45.89</w:t>
      </w:r>
      <w:r>
        <w:rPr>
          <w:rFonts w:hint="eastAsia" w:ascii="Times New Roman" w:hAnsi="宋体" w:eastAsia="宋体"/>
          <w:color w:val="auto"/>
        </w:rPr>
        <w:t>万吨，</w:t>
      </w:r>
      <w:r>
        <w:rPr>
          <w:rFonts w:hint="eastAsia" w:ascii="Times New Roman" w:hAnsi="宋体"/>
          <w:color w:val="auto"/>
          <w:lang w:eastAsia="zh-CN"/>
        </w:rPr>
        <w:t>增产</w:t>
      </w:r>
      <w:r>
        <w:rPr>
          <w:rFonts w:hint="eastAsia" w:ascii="Times New Roman" w:hAnsi="宋体"/>
          <w:color w:val="auto"/>
          <w:lang w:val="en-US" w:eastAsia="zh-CN"/>
        </w:rPr>
        <w:t>4.0</w:t>
      </w:r>
      <w:r>
        <w:rPr>
          <w:rFonts w:hint="eastAsia" w:ascii="Times New Roman" w:hAnsi="宋体" w:eastAsia="宋体"/>
          <w:color w:val="auto"/>
        </w:rPr>
        <w:t>%。</w:t>
      </w:r>
    </w:p>
    <w:p w14:paraId="0298D281">
      <w:pPr>
        <w:pStyle w:val="21"/>
        <w:widowControl/>
        <w:spacing w:beforeAutospacing="0" w:afterAutospacing="0" w:line="560" w:lineRule="exact"/>
        <w:ind w:firstLine="480" w:firstLineChars="200"/>
        <w:jc w:val="both"/>
        <w:rPr>
          <w:rFonts w:hint="eastAsia" w:ascii="Times New Roman" w:hAnsi="宋体"/>
          <w:color w:val="auto"/>
          <w:highlight w:val="none"/>
        </w:rPr>
      </w:pPr>
      <w:r>
        <w:rPr>
          <w:rFonts w:hint="eastAsia" w:ascii="Times New Roman" w:hAnsi="宋体"/>
          <w:color w:val="auto"/>
          <w:highlight w:val="none"/>
        </w:rPr>
        <w:t>全年全区油料产量14.46万吨，比上年增长2.1%，其中花生产量14.08万吨，增长2.2%。蔬菜及食用菌产量119.77万吨，增长6.3%。瓜果产量2.52万吨，增长1.5%。</w:t>
      </w:r>
    </w:p>
    <w:p w14:paraId="2CD4388E">
      <w:pPr>
        <w:pStyle w:val="21"/>
        <w:spacing w:beforeAutospacing="0" w:afterAutospacing="0" w:line="560" w:lineRule="exact"/>
        <w:ind w:firstLine="480" w:firstLineChars="200"/>
        <w:jc w:val="both"/>
        <w:rPr>
          <w:rFonts w:hint="eastAsia" w:ascii="Times New Roman" w:hAnsi="宋体"/>
        </w:rPr>
      </w:pPr>
      <w:r>
        <w:rPr>
          <w:rFonts w:hint="eastAsia" w:ascii="Times New Roman" w:hAnsi="宋体"/>
        </w:rPr>
        <w:t>全区生猪出栏量57.08万头，增长4.</w:t>
      </w:r>
      <w:r>
        <w:rPr>
          <w:rFonts w:hint="eastAsia" w:ascii="Times New Roman" w:hAnsi="宋体"/>
          <w:lang w:val="en-US" w:eastAsia="zh-CN"/>
        </w:rPr>
        <w:t>2</w:t>
      </w:r>
      <w:r>
        <w:rPr>
          <w:rFonts w:hint="eastAsia" w:ascii="Times New Roman" w:hAnsi="宋体"/>
        </w:rPr>
        <w:t>%，全区生猪存栏46.41万头，下降1.1</w:t>
      </w:r>
      <w:r>
        <w:rPr>
          <w:rFonts w:ascii="Times New Roman" w:hAnsi="宋体"/>
        </w:rPr>
        <w:t>%</w:t>
      </w:r>
      <w:r>
        <w:rPr>
          <w:rFonts w:hint="eastAsia" w:ascii="Times New Roman" w:hAnsi="宋体"/>
        </w:rPr>
        <w:t>，猪肉产量4.42万吨，增长</w:t>
      </w:r>
      <w:r>
        <w:rPr>
          <w:rFonts w:hint="eastAsia" w:ascii="Times New Roman" w:hAnsi="宋体"/>
          <w:lang w:val="en-US" w:eastAsia="zh-CN"/>
        </w:rPr>
        <w:t>9.0</w:t>
      </w:r>
      <w:r>
        <w:rPr>
          <w:rFonts w:hint="eastAsia" w:ascii="Times New Roman" w:hAnsi="宋体"/>
        </w:rPr>
        <w:t>%；牛出栏量1.45万头，下降41.5</w:t>
      </w:r>
      <w:r>
        <w:rPr>
          <w:rFonts w:ascii="Times New Roman" w:hAnsi="宋体"/>
        </w:rPr>
        <w:t>%</w:t>
      </w:r>
      <w:r>
        <w:rPr>
          <w:rFonts w:hint="eastAsia" w:ascii="Times New Roman" w:hAnsi="宋体"/>
        </w:rPr>
        <w:t>，牛肉产量0.22万吨，下降42.</w:t>
      </w:r>
      <w:r>
        <w:rPr>
          <w:rFonts w:hint="eastAsia" w:ascii="Times New Roman" w:hAnsi="宋体"/>
          <w:lang w:val="en-US" w:eastAsia="zh-CN"/>
        </w:rPr>
        <w:t>3</w:t>
      </w:r>
      <w:r>
        <w:rPr>
          <w:rFonts w:hint="eastAsia" w:ascii="Times New Roman" w:hAnsi="宋体"/>
        </w:rPr>
        <w:t>%；羊肉产量0.96万吨，增长4.</w:t>
      </w:r>
      <w:r>
        <w:rPr>
          <w:rFonts w:hint="eastAsia" w:ascii="Times New Roman" w:hAnsi="宋体"/>
          <w:lang w:val="en-US" w:eastAsia="zh-CN"/>
        </w:rPr>
        <w:t>9</w:t>
      </w:r>
      <w:r>
        <w:rPr>
          <w:rFonts w:hint="eastAsia" w:ascii="Times New Roman" w:hAnsi="宋体"/>
        </w:rPr>
        <w:t>%；禽肉产量2.58万吨，下降17.0%，禽蛋产量5.78万吨，下降20.</w:t>
      </w:r>
      <w:r>
        <w:rPr>
          <w:rFonts w:hint="eastAsia" w:ascii="Times New Roman" w:hAnsi="宋体"/>
          <w:lang w:val="en-US" w:eastAsia="zh-CN"/>
        </w:rPr>
        <w:t>9</w:t>
      </w:r>
      <w:r>
        <w:rPr>
          <w:rFonts w:hint="eastAsia" w:ascii="Times New Roman" w:hAnsi="宋体"/>
        </w:rPr>
        <w:t>%；牛奶产量0.35万吨，增长82.</w:t>
      </w:r>
      <w:r>
        <w:rPr>
          <w:rFonts w:hint="eastAsia" w:ascii="Times New Roman" w:hAnsi="宋体"/>
          <w:lang w:val="en-US" w:eastAsia="zh-CN"/>
        </w:rPr>
        <w:t>2</w:t>
      </w:r>
      <w:r>
        <w:rPr>
          <w:rFonts w:hint="eastAsia" w:ascii="Times New Roman" w:hAnsi="宋体"/>
        </w:rPr>
        <w:t>%。</w:t>
      </w:r>
    </w:p>
    <w:p w14:paraId="60F68253">
      <w:pPr>
        <w:pStyle w:val="2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0" w:firstLineChars="0"/>
        <w:jc w:val="center"/>
        <w:textAlignment w:val="auto"/>
        <w:rPr>
          <w:rFonts w:hint="eastAsia" w:ascii="宋体" w:hAnsi="宋体" w:cs="宋体"/>
          <w:b/>
          <w:bCs/>
          <w:color w:val="auto"/>
          <w:highlight w:val="none"/>
        </w:rPr>
      </w:pPr>
      <w:r>
        <w:rPr>
          <w:rFonts w:hint="eastAsia" w:ascii="宋体" w:hAnsi="宋体" w:cs="宋体"/>
          <w:b/>
          <w:bCs/>
          <w:color w:val="auto"/>
          <w:highlight w:val="none"/>
        </w:rPr>
        <w:t>图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2</w:t>
      </w:r>
      <w:r>
        <w:rPr>
          <w:rFonts w:hint="eastAsia" w:ascii="宋体" w:hAnsi="宋体" w:cs="宋体"/>
          <w:b/>
          <w:bCs/>
          <w:color w:val="auto"/>
          <w:highlight w:val="none"/>
        </w:rPr>
        <w:t xml:space="preserve">  2017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年</w:t>
      </w:r>
      <w:r>
        <w:rPr>
          <w:rFonts w:hint="eastAsia" w:ascii="宋体" w:hAnsi="宋体" w:cs="宋体"/>
          <w:b/>
          <w:bCs/>
          <w:color w:val="auto"/>
          <w:highlight w:val="none"/>
        </w:rPr>
        <w:t>-202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3</w:t>
      </w:r>
      <w:r>
        <w:rPr>
          <w:rFonts w:hint="eastAsia" w:ascii="宋体" w:hAnsi="宋体" w:cs="宋体"/>
          <w:b/>
          <w:bCs/>
          <w:color w:val="auto"/>
          <w:highlight w:val="none"/>
        </w:rPr>
        <w:t>年</w:t>
      </w:r>
      <w:r>
        <w:rPr>
          <w:rFonts w:hint="eastAsia" w:ascii="宋体" w:hAnsi="宋体" w:cs="宋体"/>
          <w:b/>
          <w:bCs/>
          <w:color w:val="auto"/>
          <w:highlight w:val="none"/>
          <w:lang w:val="en-US" w:eastAsia="zh-CN"/>
        </w:rPr>
        <w:t>淮阳区</w:t>
      </w:r>
      <w:r>
        <w:rPr>
          <w:rFonts w:hint="eastAsia" w:ascii="Times New Roman" w:hAnsi="Times New Roman"/>
          <w:b/>
          <w:bCs/>
          <w:color w:val="auto"/>
          <w:szCs w:val="22"/>
        </w:rPr>
        <w:t>粮食总产量</w:t>
      </w:r>
    </w:p>
    <w:p w14:paraId="4322B7CB">
      <w:pPr>
        <w:pStyle w:val="21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40" w:lineRule="auto"/>
        <w:ind w:left="0" w:leftChars="0" w:right="210" w:rightChars="100" w:firstLine="0" w:firstLineChars="0"/>
        <w:jc w:val="right"/>
        <w:textAlignment w:val="auto"/>
        <w:rPr>
          <w:rFonts w:hint="eastAsia" w:ascii="Times New Roman" w:hAnsi="宋体"/>
          <w:lang w:val="en-US" w:eastAsia="zh-CN"/>
        </w:rPr>
      </w:pPr>
      <w:r>
        <w:rPr>
          <w:rFonts w:hint="eastAsia" w:ascii="Times New Roman" w:hAnsi="宋体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253365</wp:posOffset>
            </wp:positionV>
            <wp:extent cx="5276850" cy="3146425"/>
            <wp:effectExtent l="4445" t="4445" r="14605" b="11430"/>
            <wp:wrapTopAndBottom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anchor>
        </w:drawing>
      </w:r>
      <w:r>
        <w:rPr>
          <w:rFonts w:hint="eastAsia" w:ascii="宋体" w:hAnsi="宋体" w:cs="宋体"/>
          <w:b w:val="0"/>
          <w:bCs w:val="0"/>
          <w:color w:val="auto"/>
          <w:sz w:val="21"/>
          <w:szCs w:val="21"/>
          <w:highlight w:val="none"/>
          <w:lang w:val="en-US" w:eastAsia="zh-CN"/>
        </w:rPr>
        <w:t xml:space="preserve">单位：万吨    </w:t>
      </w:r>
    </w:p>
    <w:p w14:paraId="3663930F">
      <w:pPr>
        <w:pStyle w:val="2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ascii="Times New Roman" w:hAnsi="Times New Roman" w:cs="Times New Roman"/>
          <w:b/>
          <w:color w:val="auto"/>
          <w:kern w:val="1"/>
          <w:sz w:val="24"/>
        </w:rPr>
      </w:pPr>
      <w:r>
        <w:rPr>
          <w:rFonts w:hint="eastAsia" w:ascii="Times New Roman" w:hAnsi="Times New Roman" w:cs="Times New Roman"/>
          <w:b/>
          <w:color w:val="auto"/>
          <w:kern w:val="1"/>
          <w:sz w:val="24"/>
          <w:lang w:val="en-US" w:eastAsia="zh-CN"/>
        </w:rPr>
        <w:t>表2</w:t>
      </w:r>
      <w:r>
        <w:rPr>
          <w:rFonts w:hint="eastAsia" w:ascii="Times New Roman" w:hAnsi="Times New Roman" w:cs="Times New Roman"/>
          <w:b/>
          <w:color w:val="auto"/>
          <w:kern w:val="1"/>
          <w:sz w:val="24"/>
        </w:rPr>
        <w:t xml:space="preserve">  </w:t>
      </w:r>
      <w:r>
        <w:rPr>
          <w:rFonts w:ascii="Times New Roman" w:hAnsi="Times New Roman" w:cs="Times New Roman"/>
          <w:b/>
          <w:color w:val="auto"/>
          <w:kern w:val="1"/>
          <w:sz w:val="24"/>
        </w:rPr>
        <w:t>20</w:t>
      </w:r>
      <w:r>
        <w:rPr>
          <w:rFonts w:ascii="Times New Roman" w:hAnsi="Times New Roman" w:cs="Times New Roman"/>
          <w:b/>
          <w:color w:val="auto"/>
          <w:kern w:val="1"/>
          <w:sz w:val="24"/>
          <w:lang w:val="en"/>
        </w:rPr>
        <w:t>2</w:t>
      </w:r>
      <w:r>
        <w:rPr>
          <w:rFonts w:hint="eastAsia" w:ascii="Times New Roman" w:hAnsi="Times New Roman" w:cs="Times New Roman"/>
          <w:b/>
          <w:color w:val="auto"/>
          <w:kern w:val="1"/>
          <w:sz w:val="24"/>
          <w:lang w:val="en-US" w:eastAsia="zh-CN"/>
        </w:rPr>
        <w:t>3</w:t>
      </w:r>
      <w:r>
        <w:rPr>
          <w:rFonts w:ascii="Times New Roman" w:hAnsi="宋体" w:cs="Times New Roman"/>
          <w:b/>
          <w:color w:val="auto"/>
          <w:kern w:val="1"/>
          <w:sz w:val="24"/>
        </w:rPr>
        <w:t>年</w:t>
      </w:r>
      <w:r>
        <w:rPr>
          <w:rFonts w:hint="eastAsia" w:ascii="Times New Roman" w:hAnsi="宋体" w:cs="Times New Roman"/>
          <w:b/>
          <w:color w:val="auto"/>
          <w:kern w:val="1"/>
          <w:sz w:val="24"/>
          <w:lang w:val="en-US" w:eastAsia="zh-CN"/>
        </w:rPr>
        <w:t>淮阳区</w:t>
      </w:r>
      <w:r>
        <w:rPr>
          <w:rFonts w:hint="eastAsia" w:ascii="Times New Roman" w:hAnsi="宋体" w:cs="Times New Roman"/>
          <w:b/>
          <w:color w:val="auto"/>
          <w:kern w:val="1"/>
          <w:sz w:val="24"/>
          <w:lang w:eastAsia="zh-CN"/>
        </w:rPr>
        <w:t>主要农产品产量及增速</w:t>
      </w:r>
    </w:p>
    <w:tbl>
      <w:tblPr>
        <w:tblStyle w:val="13"/>
        <w:tblW w:w="8091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15"/>
        <w:gridCol w:w="2750"/>
        <w:gridCol w:w="2526"/>
      </w:tblGrid>
      <w:tr w14:paraId="66772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exact"/>
          <w:jc w:val="center"/>
        </w:trPr>
        <w:tc>
          <w:tcPr>
            <w:tcW w:w="281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</w:tcPr>
          <w:p w14:paraId="7CF592E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  <w:t>产品名称</w:t>
            </w:r>
          </w:p>
        </w:tc>
        <w:tc>
          <w:tcPr>
            <w:tcW w:w="2750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D8F72F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  <w:t>产量（万吨）</w:t>
            </w:r>
          </w:p>
        </w:tc>
        <w:tc>
          <w:tcPr>
            <w:tcW w:w="2526" w:type="dxa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nil"/>
            </w:tcBorders>
          </w:tcPr>
          <w:p w14:paraId="17BD6149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  <w:t>比上年增长（%）</w:t>
            </w:r>
          </w:p>
        </w:tc>
      </w:tr>
      <w:tr w14:paraId="098547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" w:hRule="atLeast"/>
          <w:jc w:val="center"/>
        </w:trPr>
        <w:tc>
          <w:tcPr>
            <w:tcW w:w="281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top"/>
          </w:tcPr>
          <w:p w14:paraId="3B7D71D6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0" w:firstLineChars="0"/>
              <w:jc w:val="left"/>
              <w:textAlignment w:val="auto"/>
              <w:rPr>
                <w:rFonts w:hint="default" w:ascii="宋体" w:hAnsi="宋体" w:cs="宋体"/>
                <w:b w:val="0"/>
                <w:bCs w:val="0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auto"/>
                <w:sz w:val="20"/>
                <w:szCs w:val="20"/>
              </w:rPr>
              <w:t>粮食</w:t>
            </w:r>
          </w:p>
        </w:tc>
        <w:tc>
          <w:tcPr>
            <w:tcW w:w="275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0A5D12E2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99.68</w:t>
            </w:r>
          </w:p>
        </w:tc>
        <w:tc>
          <w:tcPr>
            <w:tcW w:w="2526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vAlign w:val="center"/>
          </w:tcPr>
          <w:p w14:paraId="049B39B4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-3.3</w:t>
            </w:r>
          </w:p>
        </w:tc>
      </w:tr>
      <w:tr w14:paraId="6D0C87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66F5A071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200" w:firstLineChars="100"/>
              <w:jc w:val="left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其中：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夏粮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60450591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53.78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03B05AB6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-8.8</w:t>
            </w:r>
          </w:p>
        </w:tc>
      </w:tr>
      <w:tr w14:paraId="3084E4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4A07890B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800" w:firstLineChars="400"/>
              <w:jc w:val="left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秋粮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477FEB08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45.89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5CA06EE0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4.8</w:t>
            </w:r>
          </w:p>
        </w:tc>
      </w:tr>
      <w:tr w14:paraId="6DD361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5EEEDC39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/>
              <w:jc w:val="left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  <w:lang w:eastAsia="zh-CN"/>
              </w:rPr>
              <w:t>油料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2814741D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  <w:t>14.46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25384D36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  <w:t>2.1</w:t>
            </w:r>
          </w:p>
        </w:tc>
      </w:tr>
      <w:tr w14:paraId="62854F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6DAD3EFE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200" w:firstLineChars="10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  <w:lang w:val="en-US" w:eastAsia="zh-CN"/>
              </w:rPr>
              <w:t>其中：花生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3B5C7D3E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  <w:t>14.08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2B1BEDA6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  <w:t>2.2</w:t>
            </w:r>
          </w:p>
        </w:tc>
      </w:tr>
      <w:tr w14:paraId="3A8E9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1A729DDA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/>
              <w:jc w:val="left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  <w:lang w:eastAsia="zh-CN"/>
              </w:rPr>
              <w:t>蔬菜及食用菌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6ADF7EC0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  <w:t>119.77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6E8A24D6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  <w:t>6.3</w:t>
            </w:r>
          </w:p>
        </w:tc>
      </w:tr>
      <w:tr w14:paraId="61ED12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4F4FFCAF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/>
              <w:jc w:val="left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highlight w:val="none"/>
                <w:lang w:eastAsia="zh-CN"/>
              </w:rPr>
              <w:t>瓜果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136CA806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  <w:t>2.52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1B499E1B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highlight w:val="none"/>
                <w:lang w:val="en-US" w:eastAsia="zh-CN"/>
              </w:rPr>
              <w:t>1.5</w:t>
            </w:r>
          </w:p>
        </w:tc>
      </w:tr>
      <w:tr w14:paraId="44403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6CCF822D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猪肉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3187B49B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4.42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38EBB3ED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9.0</w:t>
            </w:r>
          </w:p>
        </w:tc>
      </w:tr>
      <w:tr w14:paraId="76D60E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3099C34D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牛肉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1BF98DD5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0.22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266F6A7F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-42.3</w:t>
            </w:r>
          </w:p>
        </w:tc>
      </w:tr>
      <w:tr w14:paraId="185ACC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6CF7DB73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0" w:firstLineChars="0"/>
              <w:jc w:val="lef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羊肉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3BCD52B3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0.96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7039CD69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4.9</w:t>
            </w:r>
          </w:p>
        </w:tc>
      </w:tr>
      <w:tr w14:paraId="6C10A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60CB12AD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0" w:firstLineChars="0"/>
              <w:jc w:val="lef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禽肉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410B7047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2.58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677E0A0A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-17.0</w:t>
            </w:r>
          </w:p>
        </w:tc>
      </w:tr>
      <w:tr w14:paraId="4A6F8A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09EA8F2A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禽蛋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34608742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5.78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3CBE28B9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-20.9</w:t>
            </w:r>
          </w:p>
        </w:tc>
      </w:tr>
      <w:tr w14:paraId="11625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atLeast"/>
          <w:jc w:val="center"/>
        </w:trPr>
        <w:tc>
          <w:tcPr>
            <w:tcW w:w="2815" w:type="dxa"/>
            <w:tcBorders>
              <w:top w:val="nil"/>
              <w:left w:val="nil"/>
              <w:bottom w:val="single" w:color="000000" w:sz="12" w:space="0"/>
              <w:right w:val="single" w:color="auto" w:sz="4" w:space="0"/>
            </w:tcBorders>
            <w:vAlign w:val="top"/>
          </w:tcPr>
          <w:p w14:paraId="61CFDE8A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firstLine="0" w:firstLineChars="0"/>
              <w:jc w:val="left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牛奶</w:t>
            </w:r>
          </w:p>
        </w:tc>
        <w:tc>
          <w:tcPr>
            <w:tcW w:w="2750" w:type="dxa"/>
            <w:tcBorders>
              <w:top w:val="nil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center"/>
          </w:tcPr>
          <w:p w14:paraId="388CB677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0.35</w:t>
            </w:r>
          </w:p>
        </w:tc>
        <w:tc>
          <w:tcPr>
            <w:tcW w:w="2526" w:type="dxa"/>
            <w:tcBorders>
              <w:top w:val="nil"/>
              <w:left w:val="single" w:color="auto" w:sz="4" w:space="0"/>
              <w:bottom w:val="single" w:color="000000" w:sz="12" w:space="0"/>
              <w:right w:val="nil"/>
            </w:tcBorders>
            <w:vAlign w:val="center"/>
          </w:tcPr>
          <w:p w14:paraId="7DFD59DE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leftChars="0" w:right="420" w:rightChars="200" w:firstLine="0" w:firstLineChars="0"/>
              <w:jc w:val="right"/>
              <w:textAlignment w:val="auto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0"/>
                <w:szCs w:val="20"/>
                <w:lang w:val="en-US" w:eastAsia="zh-CN"/>
              </w:rPr>
              <w:t>82.2</w:t>
            </w:r>
          </w:p>
        </w:tc>
      </w:tr>
    </w:tbl>
    <w:p w14:paraId="215B00B3">
      <w:pPr>
        <w:spacing w:line="560" w:lineRule="exact"/>
        <w:ind w:firstLine="480" w:firstLineChars="200"/>
        <w:rPr>
          <w:rFonts w:hint="default" w:ascii="Times New Roman" w:hAnsi="宋体" w:cs="Times New Roman"/>
          <w:color w:val="auto"/>
          <w:kern w:val="0"/>
          <w:sz w:val="24"/>
          <w:highlight w:val="none"/>
          <w:lang w:val="en-US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</w:rPr>
        <w:t>年末农业机械总动力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110.84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</w:rPr>
        <w:t>万千瓦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eastAsia="zh-CN"/>
        </w:rPr>
        <w:t>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</w:rPr>
        <w:t>农用拖拉机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1.56万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</w:rPr>
        <w:t>台，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拖拉机配套农具4.92万部。</w:t>
      </w:r>
    </w:p>
    <w:p w14:paraId="49CD9A6C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sz w:val="28"/>
          <w:szCs w:val="28"/>
          <w:highlight w:val="none"/>
        </w:rPr>
      </w:pPr>
      <w:r>
        <w:rPr>
          <w:rFonts w:hint="eastAsia" w:ascii="宋体" w:hAnsi="宋体" w:cs="宋体"/>
          <w:b/>
          <w:sz w:val="28"/>
          <w:szCs w:val="28"/>
          <w:highlight w:val="none"/>
        </w:rPr>
        <w:t>三、工业和建筑业</w:t>
      </w:r>
    </w:p>
    <w:p w14:paraId="548329B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ascii="Times New Roman" w:hAnsi="宋体" w:cs="Times New Roman"/>
          <w:color w:val="0070C0"/>
          <w:kern w:val="0"/>
          <w:sz w:val="24"/>
        </w:rPr>
      </w:pPr>
      <w:r>
        <w:rPr>
          <w:rFonts w:hint="eastAsia" w:ascii="Times New Roman" w:hAnsi="宋体" w:cs="Times New Roman"/>
          <w:color w:val="auto"/>
          <w:kern w:val="0"/>
          <w:sz w:val="24"/>
        </w:rPr>
        <w:t>全年全</w:t>
      </w: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>区</w:t>
      </w:r>
      <w:r>
        <w:rPr>
          <w:rFonts w:hint="eastAsia" w:ascii="Times New Roman" w:hAnsi="宋体" w:cs="Times New Roman"/>
          <w:kern w:val="0"/>
          <w:sz w:val="24"/>
        </w:rPr>
        <w:t>规模以上工业增加值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同比增长9.1</w:t>
      </w:r>
      <w:r>
        <w:rPr>
          <w:rFonts w:hint="eastAsia" w:ascii="Times New Roman" w:hAnsi="宋体" w:cs="Times New Roman"/>
          <w:kern w:val="0"/>
          <w:sz w:val="24"/>
        </w:rPr>
        <w:t>%。在规模以上工业中，重工业增加值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同比</w:t>
      </w:r>
      <w:r>
        <w:rPr>
          <w:rFonts w:hint="eastAsia" w:ascii="Times New Roman" w:hAnsi="宋体" w:cs="Times New Roman"/>
          <w:kern w:val="0"/>
          <w:sz w:val="24"/>
        </w:rPr>
        <w:t>增长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30.4</w:t>
      </w:r>
      <w:r>
        <w:rPr>
          <w:rFonts w:hint="eastAsia" w:ascii="Times New Roman" w:hAnsi="宋体" w:cs="Times New Roman"/>
          <w:kern w:val="0"/>
          <w:sz w:val="24"/>
        </w:rPr>
        <w:t>%，轻工业增加值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同比下降16.6</w:t>
      </w:r>
      <w:r>
        <w:rPr>
          <w:rFonts w:hint="eastAsia" w:ascii="Times New Roman" w:hAnsi="宋体" w:cs="Times New Roman"/>
          <w:kern w:val="0"/>
          <w:sz w:val="24"/>
        </w:rPr>
        <w:t>%，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塑料制品增加值同比增长29.1，装备制造增加值同比增长28.9</w:t>
      </w:r>
      <w:r>
        <w:rPr>
          <w:rFonts w:hint="eastAsia" w:ascii="Times New Roman" w:hAnsi="宋体" w:cs="Times New Roman"/>
          <w:kern w:val="0"/>
          <w:sz w:val="24"/>
        </w:rPr>
        <w:t>。分行业看，全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区27</w:t>
      </w:r>
      <w:r>
        <w:rPr>
          <w:rFonts w:hint="eastAsia" w:ascii="Times New Roman" w:hAnsi="宋体" w:cs="Times New Roman"/>
          <w:kern w:val="0"/>
          <w:sz w:val="24"/>
        </w:rPr>
        <w:t>个行业大类中，有18个行业同比增长，增长面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66.7</w:t>
      </w:r>
      <w:r>
        <w:rPr>
          <w:rFonts w:hint="eastAsia" w:ascii="Times New Roman" w:hAnsi="宋体" w:cs="Times New Roman"/>
          <w:kern w:val="0"/>
          <w:sz w:val="24"/>
        </w:rPr>
        <w:t>%。分产品看，全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区31</w:t>
      </w:r>
      <w:r>
        <w:rPr>
          <w:rFonts w:hint="eastAsia" w:ascii="Times New Roman" w:hAnsi="宋体" w:cs="Times New Roman"/>
          <w:kern w:val="0"/>
          <w:sz w:val="24"/>
        </w:rPr>
        <w:t>种产品中，有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23</w:t>
      </w:r>
      <w:r>
        <w:rPr>
          <w:rFonts w:hint="eastAsia" w:ascii="Times New Roman" w:hAnsi="宋体" w:cs="Times New Roman"/>
          <w:kern w:val="0"/>
          <w:sz w:val="24"/>
        </w:rPr>
        <w:t>种产品同比增长，增长面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71.9</w:t>
      </w:r>
      <w:r>
        <w:rPr>
          <w:rFonts w:hint="eastAsia" w:ascii="Times New Roman" w:hAnsi="宋体" w:cs="Times New Roman"/>
          <w:kern w:val="0"/>
          <w:sz w:val="24"/>
        </w:rPr>
        <w:t>%。</w:t>
      </w:r>
    </w:p>
    <w:p w14:paraId="760CCE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/>
          <w:lang w:eastAsia="zh-CN"/>
        </w:rPr>
      </w:pPr>
      <w:r>
        <w:rPr>
          <w:rFonts w:ascii="Times New Roman" w:hAnsi="宋体" w:cs="Times New Roman"/>
          <w:b/>
          <w:color w:val="auto"/>
          <w:kern w:val="1"/>
          <w:sz w:val="24"/>
          <w:szCs w:val="24"/>
        </w:rPr>
        <w:t>表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  <w:lang w:val="en-US" w:eastAsia="zh-CN"/>
        </w:rPr>
        <w:t>3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</w:rPr>
        <w:t xml:space="preserve">  </w:t>
      </w:r>
      <w:r>
        <w:rPr>
          <w:rFonts w:ascii="Times New Roman" w:hAnsi="宋体" w:cs="Times New Roman"/>
          <w:b/>
          <w:color w:val="auto"/>
          <w:kern w:val="1"/>
          <w:sz w:val="24"/>
          <w:szCs w:val="24"/>
        </w:rPr>
        <w:t>20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</w:rPr>
        <w:t>2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  <w:lang w:val="en-US" w:eastAsia="zh-CN"/>
        </w:rPr>
        <w:t>3</w:t>
      </w:r>
      <w:r>
        <w:rPr>
          <w:rFonts w:ascii="Times New Roman" w:hAnsi="宋体" w:cs="Times New Roman"/>
          <w:b/>
          <w:color w:val="auto"/>
          <w:kern w:val="1"/>
          <w:sz w:val="24"/>
          <w:szCs w:val="24"/>
        </w:rPr>
        <w:t>年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  <w:lang w:val="en-US" w:eastAsia="zh-CN"/>
        </w:rPr>
        <w:t>淮阳区</w:t>
      </w:r>
      <w:r>
        <w:rPr>
          <w:rFonts w:ascii="Times New Roman" w:hAnsi="宋体" w:cs="Times New Roman"/>
          <w:b/>
          <w:color w:val="auto"/>
          <w:kern w:val="1"/>
          <w:sz w:val="24"/>
          <w:szCs w:val="24"/>
        </w:rPr>
        <w:t>规模以上工业增加值</w:t>
      </w:r>
      <w:r>
        <w:rPr>
          <w:rFonts w:hint="eastAsia" w:ascii="Times New Roman" w:hAnsi="宋体" w:cs="Times New Roman"/>
          <w:b/>
          <w:color w:val="auto"/>
          <w:kern w:val="1"/>
          <w:sz w:val="24"/>
          <w:szCs w:val="24"/>
          <w:highlight w:val="none"/>
          <w:lang w:eastAsia="zh-CN"/>
        </w:rPr>
        <w:t>增速</w:t>
      </w:r>
    </w:p>
    <w:tbl>
      <w:tblPr>
        <w:tblStyle w:val="13"/>
        <w:tblW w:w="8559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5"/>
        <w:gridCol w:w="4084"/>
      </w:tblGrid>
      <w:tr w14:paraId="39A3C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4475" w:type="dxa"/>
            <w:tcBorders>
              <w:top w:val="single" w:color="000000" w:sz="12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 w14:paraId="017DC6F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  <w:t>指标</w:t>
            </w:r>
          </w:p>
        </w:tc>
        <w:tc>
          <w:tcPr>
            <w:tcW w:w="4084" w:type="dxa"/>
            <w:tcBorders>
              <w:top w:val="single" w:color="000000" w:sz="12" w:space="0"/>
              <w:left w:val="single" w:color="000000" w:sz="4" w:space="0"/>
              <w:bottom w:val="single" w:color="auto" w:sz="4" w:space="0"/>
              <w:right w:val="nil"/>
            </w:tcBorders>
            <w:vAlign w:val="center"/>
          </w:tcPr>
          <w:p w14:paraId="0E31BEBB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  <w:t>比上年增长（%）</w:t>
            </w:r>
          </w:p>
        </w:tc>
      </w:tr>
      <w:tr w14:paraId="0647F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4475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vAlign w:val="center"/>
          </w:tcPr>
          <w:p w14:paraId="2E1AE303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规模以上工业增加值</w:t>
            </w:r>
          </w:p>
        </w:tc>
        <w:tc>
          <w:tcPr>
            <w:tcW w:w="4084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vAlign w:val="center"/>
          </w:tcPr>
          <w:p w14:paraId="5F46B085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9.1</w:t>
            </w:r>
          </w:p>
        </w:tc>
      </w:tr>
      <w:tr w14:paraId="194709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47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197A2D2F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在总计中：  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eastAsia="zh-CN"/>
              </w:rPr>
              <w:t>轻工业</w:t>
            </w:r>
          </w:p>
        </w:tc>
        <w:tc>
          <w:tcPr>
            <w:tcW w:w="4084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5D913542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-16.6</w:t>
            </w:r>
          </w:p>
        </w:tc>
      </w:tr>
      <w:tr w14:paraId="6A500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47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0A83AE01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重工业</w:t>
            </w:r>
          </w:p>
        </w:tc>
        <w:tc>
          <w:tcPr>
            <w:tcW w:w="4084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229A342F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30.4</w:t>
            </w:r>
          </w:p>
        </w:tc>
      </w:tr>
      <w:tr w14:paraId="407536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47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75D354F7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在总计中：  国有企业</w:t>
            </w:r>
          </w:p>
        </w:tc>
        <w:tc>
          <w:tcPr>
            <w:tcW w:w="4084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333615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lang w:val="en-US" w:eastAsia="zh-CN"/>
              </w:rPr>
              <w:t>-</w:t>
            </w:r>
          </w:p>
        </w:tc>
      </w:tr>
      <w:tr w14:paraId="479417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47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7EDA7E9D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集体企业</w:t>
            </w:r>
          </w:p>
        </w:tc>
        <w:tc>
          <w:tcPr>
            <w:tcW w:w="4084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32CAE0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lang w:val="en-US" w:eastAsia="zh-CN"/>
              </w:rPr>
              <w:t>-</w:t>
            </w:r>
          </w:p>
        </w:tc>
      </w:tr>
      <w:tr w14:paraId="6CDAB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47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1F7D9AF1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股份制企业</w:t>
            </w:r>
          </w:p>
        </w:tc>
        <w:tc>
          <w:tcPr>
            <w:tcW w:w="4084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5AD2A8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lang w:val="en-US" w:eastAsia="zh-CN"/>
              </w:rPr>
              <w:t>8.9</w:t>
            </w:r>
          </w:p>
        </w:tc>
      </w:tr>
      <w:tr w14:paraId="0C3CD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47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6564F450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外商和港澳台商投资企业</w:t>
            </w:r>
          </w:p>
        </w:tc>
        <w:tc>
          <w:tcPr>
            <w:tcW w:w="4084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42459B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lang w:val="en-US" w:eastAsia="zh-CN"/>
              </w:rPr>
              <w:t>-</w:t>
            </w:r>
          </w:p>
        </w:tc>
      </w:tr>
      <w:tr w14:paraId="72AFA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47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0ADC5042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其他</w:t>
            </w:r>
          </w:p>
        </w:tc>
        <w:tc>
          <w:tcPr>
            <w:tcW w:w="4084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1DB057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0"/>
                <w:szCs w:val="20"/>
                <w:lang w:val="en-US" w:eastAsia="zh-CN"/>
              </w:rPr>
              <w:t>14.0</w:t>
            </w:r>
          </w:p>
        </w:tc>
      </w:tr>
      <w:tr w14:paraId="7B032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47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5535B735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在总计中：  公有制</w:t>
            </w:r>
          </w:p>
        </w:tc>
        <w:tc>
          <w:tcPr>
            <w:tcW w:w="4084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center"/>
          </w:tcPr>
          <w:p w14:paraId="000CB734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-</w:t>
            </w:r>
          </w:p>
        </w:tc>
      </w:tr>
      <w:tr w14:paraId="730EC7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4475" w:type="dxa"/>
            <w:tcBorders>
              <w:top w:val="nil"/>
              <w:left w:val="nil"/>
              <w:bottom w:val="single" w:color="000000" w:sz="12" w:space="0"/>
              <w:right w:val="single" w:color="auto" w:sz="4" w:space="0"/>
            </w:tcBorders>
            <w:vAlign w:val="center"/>
          </w:tcPr>
          <w:p w14:paraId="38F61757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420" w:leftChars="200" w:right="0" w:firstLine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 xml:space="preserve">            非公有制</w:t>
            </w:r>
          </w:p>
        </w:tc>
        <w:tc>
          <w:tcPr>
            <w:tcW w:w="4084" w:type="dxa"/>
            <w:tcBorders>
              <w:top w:val="nil"/>
              <w:left w:val="single" w:color="auto" w:sz="4" w:space="0"/>
              <w:bottom w:val="single" w:color="000000" w:sz="12" w:space="0"/>
              <w:right w:val="nil"/>
            </w:tcBorders>
            <w:vAlign w:val="center"/>
          </w:tcPr>
          <w:p w14:paraId="5AC34ADD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9.1</w:t>
            </w:r>
          </w:p>
        </w:tc>
      </w:tr>
    </w:tbl>
    <w:p w14:paraId="1465BB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jc w:val="center"/>
        <w:textAlignment w:val="auto"/>
        <w:rPr>
          <w:rStyle w:val="15"/>
          <w:rFonts w:hint="eastAsia" w:ascii="Times New Roman" w:hAnsi="宋体" w:eastAsia="宋体"/>
          <w:color w:val="auto"/>
          <w:sz w:val="24"/>
          <w:szCs w:val="24"/>
          <w:lang w:eastAsia="zh-CN"/>
        </w:rPr>
      </w:pPr>
      <w:r>
        <w:rPr>
          <w:rStyle w:val="15"/>
          <w:rFonts w:ascii="Times New Roman" w:hAnsi="宋体"/>
          <w:color w:val="auto"/>
          <w:sz w:val="24"/>
          <w:szCs w:val="24"/>
        </w:rPr>
        <w:t>表</w:t>
      </w:r>
      <w:r>
        <w:rPr>
          <w:rStyle w:val="15"/>
          <w:rFonts w:hint="eastAsia" w:ascii="Times New Roman" w:hAnsi="宋体"/>
          <w:color w:val="auto"/>
          <w:sz w:val="24"/>
          <w:szCs w:val="24"/>
          <w:lang w:val="en-US" w:eastAsia="zh-CN"/>
        </w:rPr>
        <w:t>4</w:t>
      </w:r>
      <w:r>
        <w:rPr>
          <w:rStyle w:val="15"/>
          <w:rFonts w:hint="eastAsia" w:ascii="Times New Roman" w:hAnsi="宋体"/>
          <w:color w:val="auto"/>
          <w:sz w:val="24"/>
          <w:szCs w:val="24"/>
        </w:rPr>
        <w:t xml:space="preserve">  </w:t>
      </w:r>
      <w:r>
        <w:rPr>
          <w:rStyle w:val="15"/>
          <w:rFonts w:ascii="Times New Roman" w:hAnsi="宋体"/>
          <w:color w:val="auto"/>
          <w:sz w:val="24"/>
          <w:szCs w:val="24"/>
        </w:rPr>
        <w:t>20</w:t>
      </w:r>
      <w:r>
        <w:rPr>
          <w:rStyle w:val="15"/>
          <w:rFonts w:hint="eastAsia" w:ascii="Times New Roman" w:hAnsi="宋体"/>
          <w:color w:val="auto"/>
          <w:sz w:val="24"/>
          <w:szCs w:val="24"/>
        </w:rPr>
        <w:t>2</w:t>
      </w:r>
      <w:r>
        <w:rPr>
          <w:rStyle w:val="15"/>
          <w:rFonts w:hint="eastAsia" w:ascii="Times New Roman" w:hAnsi="宋体"/>
          <w:color w:val="auto"/>
          <w:sz w:val="24"/>
          <w:szCs w:val="24"/>
          <w:lang w:val="en-US" w:eastAsia="zh-CN"/>
        </w:rPr>
        <w:t>3</w:t>
      </w:r>
      <w:r>
        <w:rPr>
          <w:rStyle w:val="15"/>
          <w:rFonts w:ascii="Times New Roman" w:hAnsi="宋体"/>
          <w:color w:val="auto"/>
          <w:sz w:val="24"/>
          <w:szCs w:val="24"/>
        </w:rPr>
        <w:t>年</w:t>
      </w:r>
      <w:r>
        <w:rPr>
          <w:rStyle w:val="15"/>
          <w:rFonts w:hint="eastAsia" w:ascii="Times New Roman" w:hAnsi="宋体"/>
          <w:color w:val="auto"/>
          <w:sz w:val="24"/>
          <w:szCs w:val="24"/>
          <w:lang w:val="en-US" w:eastAsia="zh-CN"/>
        </w:rPr>
        <w:t>淮阳区</w:t>
      </w:r>
      <w:r>
        <w:rPr>
          <w:rStyle w:val="15"/>
          <w:rFonts w:ascii="Times New Roman" w:hAnsi="宋体"/>
          <w:color w:val="auto"/>
          <w:sz w:val="24"/>
          <w:szCs w:val="24"/>
        </w:rPr>
        <w:t>规模以上工业主要产品产量</w:t>
      </w:r>
      <w:r>
        <w:rPr>
          <w:rStyle w:val="15"/>
          <w:rFonts w:hint="eastAsia" w:ascii="Times New Roman" w:hAnsi="宋体"/>
          <w:color w:val="auto"/>
          <w:sz w:val="24"/>
          <w:szCs w:val="24"/>
          <w:highlight w:val="none"/>
          <w:lang w:eastAsia="zh-CN"/>
        </w:rPr>
        <w:t>及增速</w:t>
      </w:r>
    </w:p>
    <w:tbl>
      <w:tblPr>
        <w:tblStyle w:val="13"/>
        <w:tblW w:w="8529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79"/>
        <w:gridCol w:w="1900"/>
        <w:gridCol w:w="1883"/>
        <w:gridCol w:w="2167"/>
      </w:tblGrid>
      <w:tr w14:paraId="4056906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4" w:hRule="atLeast"/>
          <w:jc w:val="center"/>
        </w:trPr>
        <w:tc>
          <w:tcPr>
            <w:tcW w:w="2579" w:type="dxa"/>
            <w:tcBorders>
              <w:top w:val="single" w:color="000000" w:sz="12" w:space="0"/>
              <w:left w:val="nil"/>
              <w:bottom w:val="single" w:color="auto" w:sz="4" w:space="0"/>
              <w:right w:val="single" w:color="000000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26A8ED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宋体" w:cs="Times New Roman"/>
                <w:b/>
                <w:color w:val="auto"/>
                <w:sz w:val="24"/>
                <w:highlight w:val="none"/>
              </w:rPr>
              <w:t>产品名称</w:t>
            </w:r>
          </w:p>
        </w:tc>
        <w:tc>
          <w:tcPr>
            <w:tcW w:w="1900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09150C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宋体" w:cs="Times New Roman"/>
                <w:b/>
                <w:color w:val="auto"/>
                <w:sz w:val="24"/>
                <w:highlight w:val="none"/>
              </w:rPr>
              <w:t>单位</w:t>
            </w:r>
          </w:p>
        </w:tc>
        <w:tc>
          <w:tcPr>
            <w:tcW w:w="1883" w:type="dxa"/>
            <w:tcBorders>
              <w:top w:val="single" w:color="000000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35434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宋体" w:cs="Times New Roman"/>
                <w:b/>
                <w:color w:val="auto"/>
                <w:sz w:val="24"/>
                <w:highlight w:val="none"/>
              </w:rPr>
              <w:t>产  量</w:t>
            </w:r>
          </w:p>
        </w:tc>
        <w:tc>
          <w:tcPr>
            <w:tcW w:w="2167" w:type="dxa"/>
            <w:tcBorders>
              <w:top w:val="single" w:color="000000" w:sz="12" w:space="0"/>
              <w:left w:val="single" w:color="000000" w:sz="4" w:space="0"/>
              <w:bottom w:val="single" w:color="auto" w:sz="4" w:space="0"/>
              <w:right w:val="nil"/>
            </w:tcBorders>
            <w:vAlign w:val="center"/>
          </w:tcPr>
          <w:p w14:paraId="5D0C521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default" w:ascii="Times New Roman" w:hAnsi="宋体" w:cs="Times New Roman"/>
                <w:b/>
                <w:color w:val="auto"/>
                <w:sz w:val="24"/>
                <w:highlight w:val="none"/>
              </w:rPr>
            </w:pPr>
            <w:r>
              <w:rPr>
                <w:rFonts w:hint="eastAsia" w:ascii="Times New Roman" w:hAnsi="宋体" w:cs="Times New Roman"/>
                <w:b/>
                <w:color w:val="auto"/>
                <w:sz w:val="24"/>
                <w:highlight w:val="none"/>
              </w:rPr>
              <w:t>比上年增长（%）</w:t>
            </w:r>
          </w:p>
        </w:tc>
      </w:tr>
      <w:tr w14:paraId="713134B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7A761889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塑料制品</w:t>
            </w:r>
          </w:p>
        </w:tc>
        <w:tc>
          <w:tcPr>
            <w:tcW w:w="1900" w:type="dxa"/>
            <w:tcBorders>
              <w:top w:val="single" w:color="000000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1F72CCEA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0BC3D468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1435108</w:t>
            </w:r>
          </w:p>
        </w:tc>
        <w:tc>
          <w:tcPr>
            <w:tcW w:w="2167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vAlign w:val="bottom"/>
          </w:tcPr>
          <w:p w14:paraId="1530DF57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971.1</w:t>
            </w:r>
          </w:p>
        </w:tc>
      </w:tr>
      <w:tr w14:paraId="6164DC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CCF4B78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人造板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6F4F3A3F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立方米</w:t>
            </w:r>
          </w:p>
        </w:tc>
        <w:tc>
          <w:tcPr>
            <w:tcW w:w="188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390B9013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250152</w:t>
            </w:r>
          </w:p>
        </w:tc>
        <w:tc>
          <w:tcPr>
            <w:tcW w:w="216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 w14:paraId="24C5AB06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4.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3</w:t>
            </w:r>
          </w:p>
        </w:tc>
      </w:tr>
      <w:tr w14:paraId="0E5E44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37BFFCCE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cs="宋体"/>
                <w:color w:val="auto"/>
                <w:sz w:val="20"/>
                <w:szCs w:val="20"/>
              </w:rPr>
              <w:t>商品混凝土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3C445D0A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88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0AB824DC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951814</w:t>
            </w:r>
          </w:p>
        </w:tc>
        <w:tc>
          <w:tcPr>
            <w:tcW w:w="216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 w14:paraId="6A81FF9E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-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12.3</w:t>
            </w:r>
          </w:p>
        </w:tc>
      </w:tr>
      <w:tr w14:paraId="79C76F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24F7486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小麦粉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5159530D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88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460EBEB8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46053</w:t>
            </w:r>
          </w:p>
        </w:tc>
        <w:tc>
          <w:tcPr>
            <w:tcW w:w="216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 w14:paraId="57FAF43C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20.0</w:t>
            </w:r>
          </w:p>
        </w:tc>
      </w:tr>
      <w:tr w14:paraId="68431DB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044B131C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液压元件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1D403488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件</w:t>
            </w:r>
          </w:p>
        </w:tc>
        <w:tc>
          <w:tcPr>
            <w:tcW w:w="188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1763F598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144897</w:t>
            </w:r>
          </w:p>
        </w:tc>
        <w:tc>
          <w:tcPr>
            <w:tcW w:w="216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 w14:paraId="280CCC99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60.1</w:t>
            </w:r>
          </w:p>
        </w:tc>
      </w:tr>
      <w:tr w14:paraId="7C54ED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667F74BF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变压器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529008C3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88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5B7BE9C9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144625</w:t>
            </w:r>
          </w:p>
        </w:tc>
        <w:tc>
          <w:tcPr>
            <w:tcW w:w="216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 w14:paraId="622A1C4B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111.1</w:t>
            </w:r>
          </w:p>
        </w:tc>
      </w:tr>
      <w:tr w14:paraId="6CAF319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ABA977B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纱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6FD2A15E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88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1D34C455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33399</w:t>
            </w:r>
          </w:p>
        </w:tc>
        <w:tc>
          <w:tcPr>
            <w:tcW w:w="216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 w14:paraId="1F106FA2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default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9.0</w:t>
            </w:r>
          </w:p>
        </w:tc>
      </w:tr>
      <w:tr w14:paraId="0094689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F024035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cs="宋体"/>
                <w:color w:val="auto"/>
                <w:sz w:val="20"/>
                <w:szCs w:val="20"/>
              </w:rPr>
              <w:t>饲料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09448FA0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88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33818EAE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21477</w:t>
            </w:r>
          </w:p>
        </w:tc>
        <w:tc>
          <w:tcPr>
            <w:tcW w:w="216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 w14:paraId="655BEF02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-43.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7</w:t>
            </w:r>
          </w:p>
        </w:tc>
      </w:tr>
      <w:tr w14:paraId="6A2B56E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nil"/>
              <w:left w:val="nil"/>
              <w:bottom w:val="nil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5962EBE0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钢结构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30A6D43B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default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吨</w:t>
            </w:r>
          </w:p>
        </w:tc>
        <w:tc>
          <w:tcPr>
            <w:tcW w:w="1883" w:type="dxa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bottom"/>
          </w:tcPr>
          <w:p w14:paraId="068D9ED0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17017</w:t>
            </w:r>
          </w:p>
        </w:tc>
        <w:tc>
          <w:tcPr>
            <w:tcW w:w="2167" w:type="dxa"/>
            <w:tcBorders>
              <w:top w:val="nil"/>
              <w:left w:val="single" w:color="auto" w:sz="4" w:space="0"/>
              <w:bottom w:val="nil"/>
              <w:right w:val="nil"/>
            </w:tcBorders>
            <w:vAlign w:val="bottom"/>
          </w:tcPr>
          <w:p w14:paraId="1EBDFF86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98.</w:t>
            </w: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8</w:t>
            </w:r>
          </w:p>
        </w:tc>
      </w:tr>
      <w:tr w14:paraId="51EB32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5" w:hRule="atLeast"/>
          <w:jc w:val="center"/>
        </w:trPr>
        <w:tc>
          <w:tcPr>
            <w:tcW w:w="2579" w:type="dxa"/>
            <w:tcBorders>
              <w:top w:val="nil"/>
              <w:left w:val="nil"/>
              <w:bottom w:val="single" w:color="000000" w:sz="12" w:space="0"/>
              <w:right w:val="single" w:color="auto" w:sz="4" w:space="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14:paraId="15587F50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420" w:leftChars="200" w:right="0" w:rightChars="0"/>
              <w:jc w:val="both"/>
              <w:textAlignment w:val="auto"/>
              <w:rPr>
                <w:rFonts w:hint="eastAsia" w:ascii="宋体" w:hAnsi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</w:rPr>
              <w:t>鲜、冷藏肉</w:t>
            </w:r>
          </w:p>
        </w:tc>
        <w:tc>
          <w:tcPr>
            <w:tcW w:w="1900" w:type="dxa"/>
            <w:tcBorders>
              <w:top w:val="nil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center"/>
          </w:tcPr>
          <w:p w14:paraId="6A2DCD53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 w:val="20"/>
                <w:szCs w:val="20"/>
                <w:lang w:val="en-US" w:eastAsia="zh-CN"/>
              </w:rPr>
              <w:t>吨</w:t>
            </w:r>
          </w:p>
        </w:tc>
        <w:tc>
          <w:tcPr>
            <w:tcW w:w="1883" w:type="dxa"/>
            <w:tcBorders>
              <w:top w:val="nil"/>
              <w:left w:val="single" w:color="auto" w:sz="4" w:space="0"/>
              <w:bottom w:val="single" w:color="000000" w:sz="12" w:space="0"/>
              <w:right w:val="single" w:color="auto" w:sz="4" w:space="0"/>
            </w:tcBorders>
            <w:vAlign w:val="bottom"/>
          </w:tcPr>
          <w:p w14:paraId="2C56CF7F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15093</w:t>
            </w:r>
          </w:p>
        </w:tc>
        <w:tc>
          <w:tcPr>
            <w:tcW w:w="2167" w:type="dxa"/>
            <w:tcBorders>
              <w:top w:val="nil"/>
              <w:left w:val="single" w:color="auto" w:sz="4" w:space="0"/>
              <w:bottom w:val="single" w:color="000000" w:sz="12" w:space="0"/>
              <w:right w:val="nil"/>
            </w:tcBorders>
            <w:vAlign w:val="bottom"/>
          </w:tcPr>
          <w:p w14:paraId="02E9EAEA">
            <w:pPr>
              <w:pStyle w:val="21"/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40" w:lineRule="auto"/>
              <w:ind w:left="0" w:right="420" w:rightChars="200"/>
              <w:jc w:val="right"/>
              <w:textAlignment w:val="auto"/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auto"/>
                <w:sz w:val="20"/>
                <w:szCs w:val="20"/>
              </w:rPr>
              <w:t>10.2</w:t>
            </w:r>
          </w:p>
        </w:tc>
      </w:tr>
    </w:tbl>
    <w:p w14:paraId="1DC8C247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hint="eastAsia" w:ascii="Times New Roman" w:hAnsi="宋体" w:cs="Times New Roman"/>
          <w:kern w:val="0"/>
          <w:sz w:val="24"/>
          <w:lang w:val="zh-CN"/>
        </w:rPr>
      </w:pPr>
      <w:r>
        <w:rPr>
          <w:rFonts w:hint="eastAsia" w:ascii="Times New Roman" w:hAnsi="宋体" w:cs="Times New Roman"/>
          <w:kern w:val="0"/>
          <w:sz w:val="24"/>
        </w:rPr>
        <w:t>全年全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区</w:t>
      </w:r>
      <w:r>
        <w:rPr>
          <w:rFonts w:hint="eastAsia" w:ascii="Times New Roman" w:hAnsi="宋体" w:cs="Times New Roman"/>
          <w:kern w:val="0"/>
          <w:sz w:val="24"/>
        </w:rPr>
        <w:t>高新技术产业增加值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同比增长26.3%，高于</w:t>
      </w:r>
      <w:r>
        <w:rPr>
          <w:rFonts w:hint="eastAsia" w:ascii="Times New Roman" w:hAnsi="宋体" w:cs="Times New Roman"/>
          <w:kern w:val="0"/>
          <w:sz w:val="24"/>
        </w:rPr>
        <w:t>规模以上工业增加值增速</w:t>
      </w:r>
      <w:r>
        <w:rPr>
          <w:rFonts w:hint="default" w:ascii="Times New Roman" w:hAnsi="宋体" w:cs="Times New Roman"/>
          <w:kern w:val="0"/>
          <w:sz w:val="24"/>
        </w:rPr>
        <w:t>17.2</w:t>
      </w:r>
      <w:r>
        <w:rPr>
          <w:rFonts w:hint="eastAsia" w:ascii="Times New Roman" w:hAnsi="宋体" w:cs="Times New Roman"/>
          <w:kern w:val="0"/>
          <w:sz w:val="24"/>
        </w:rPr>
        <w:t>个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百分点，</w:t>
      </w:r>
      <w:r>
        <w:rPr>
          <w:rFonts w:hint="eastAsia" w:ascii="Times New Roman" w:hAnsi="宋体" w:cs="Times New Roman"/>
          <w:kern w:val="0"/>
          <w:sz w:val="24"/>
        </w:rPr>
        <w:t>高成长性制造业增加值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同比下降</w:t>
      </w:r>
      <w:r>
        <w:rPr>
          <w:rFonts w:hint="default" w:ascii="Times New Roman" w:hAnsi="宋体" w:cs="Times New Roman"/>
          <w:kern w:val="0"/>
          <w:sz w:val="24"/>
        </w:rPr>
        <w:t>15.7</w:t>
      </w:r>
      <w:r>
        <w:rPr>
          <w:rFonts w:hint="eastAsia" w:ascii="Times New Roman" w:hAnsi="宋体" w:cs="Times New Roman"/>
          <w:kern w:val="0"/>
          <w:sz w:val="24"/>
        </w:rPr>
        <w:t>%，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低于</w:t>
      </w:r>
      <w:r>
        <w:rPr>
          <w:rFonts w:hint="eastAsia" w:ascii="Times New Roman" w:hAnsi="宋体" w:cs="Times New Roman"/>
          <w:kern w:val="0"/>
          <w:sz w:val="24"/>
        </w:rPr>
        <w:t>规模以上工业增加值增速</w:t>
      </w:r>
      <w:r>
        <w:rPr>
          <w:rFonts w:hint="default" w:ascii="Times New Roman" w:hAnsi="宋体" w:cs="Times New Roman"/>
          <w:kern w:val="0"/>
          <w:sz w:val="24"/>
        </w:rPr>
        <w:t>24.8</w:t>
      </w:r>
      <w:r>
        <w:rPr>
          <w:rFonts w:hint="eastAsia" w:ascii="Times New Roman" w:hAnsi="宋体" w:cs="Times New Roman"/>
          <w:kern w:val="0"/>
          <w:sz w:val="24"/>
        </w:rPr>
        <w:t>个百分点。</w:t>
      </w:r>
      <w:r>
        <w:rPr>
          <w:rFonts w:hint="eastAsia" w:ascii="Times New Roman" w:hAnsi="宋体" w:cs="Times New Roman"/>
          <w:kern w:val="0"/>
          <w:sz w:val="24"/>
          <w:lang w:eastAsia="zh-CN"/>
        </w:rPr>
        <w:t>全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区</w:t>
      </w:r>
      <w:r>
        <w:rPr>
          <w:rFonts w:hint="eastAsia" w:ascii="Times New Roman" w:hAnsi="宋体" w:cs="Times New Roman"/>
          <w:kern w:val="0"/>
          <w:sz w:val="24"/>
        </w:rPr>
        <w:t>战略性新兴产业增加值同比增长</w:t>
      </w:r>
      <w:r>
        <w:rPr>
          <w:rFonts w:hint="default" w:ascii="Times New Roman" w:hAnsi="宋体" w:cs="Times New Roman"/>
          <w:kern w:val="0"/>
          <w:sz w:val="24"/>
        </w:rPr>
        <w:t>2.3</w:t>
      </w:r>
      <w:r>
        <w:rPr>
          <w:rFonts w:hint="eastAsia" w:ascii="Times New Roman" w:hAnsi="宋体" w:cs="Times New Roman"/>
          <w:kern w:val="0"/>
          <w:sz w:val="24"/>
        </w:rPr>
        <w:t>%</w:t>
      </w:r>
      <w:r>
        <w:rPr>
          <w:rFonts w:hint="eastAsia" w:ascii="Times New Roman" w:hAnsi="宋体" w:cs="Times New Roman"/>
          <w:kern w:val="0"/>
          <w:sz w:val="24"/>
          <w:lang w:eastAsia="zh-CN"/>
        </w:rPr>
        <w:t>。</w:t>
      </w:r>
    </w:p>
    <w:p w14:paraId="3162A65B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highlight w:val="yellow"/>
        </w:rPr>
      </w:pPr>
      <w:r>
        <w:rPr>
          <w:rFonts w:hint="eastAsia" w:ascii="Times New Roman" w:hAnsi="宋体" w:cs="Times New Roman"/>
          <w:kern w:val="0"/>
          <w:sz w:val="24"/>
          <w:lang w:val="zh-CN"/>
        </w:rPr>
        <w:t>全年全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区</w:t>
      </w:r>
      <w:r>
        <w:rPr>
          <w:rFonts w:hint="eastAsia" w:ascii="Times New Roman" w:hAnsi="宋体" w:cs="Times New Roman"/>
          <w:kern w:val="0"/>
          <w:sz w:val="24"/>
          <w:lang w:val="zh-CN"/>
        </w:rPr>
        <w:t>规模以上工业企业营业收入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完成114.47亿元</w:t>
      </w:r>
      <w:r>
        <w:rPr>
          <w:rFonts w:hint="eastAsia" w:ascii="Times New Roman" w:hAnsi="宋体" w:cs="Times New Roman"/>
          <w:kern w:val="0"/>
          <w:sz w:val="24"/>
          <w:lang w:val="zh-CN"/>
        </w:rPr>
        <w:t>，利润总额</w:t>
      </w:r>
      <w:r>
        <w:rPr>
          <w:rFonts w:hint="eastAsia" w:ascii="Times New Roman" w:hAnsi="宋体" w:cs="Times New Roman"/>
          <w:kern w:val="0"/>
          <w:sz w:val="24"/>
          <w:lang w:val="en-US" w:eastAsia="zh-CN"/>
        </w:rPr>
        <w:t>完成14.56亿元</w:t>
      </w:r>
      <w:r>
        <w:rPr>
          <w:rFonts w:hint="eastAsia" w:ascii="Times New Roman" w:hAnsi="宋体" w:cs="Times New Roman"/>
          <w:kern w:val="0"/>
          <w:sz w:val="24"/>
          <w:lang w:val="zh-CN"/>
        </w:rPr>
        <w:t>。</w:t>
      </w:r>
    </w:p>
    <w:p w14:paraId="3A69FD53">
      <w:pPr>
        <w:spacing w:line="560" w:lineRule="exact"/>
        <w:ind w:firstLine="480" w:firstLineChars="200"/>
        <w:rPr>
          <w:rFonts w:hint="eastAsia" w:ascii="Times New Roman" w:hAnsi="宋体"/>
          <w:highlight w:val="none"/>
          <w:lang w:val="zh-CN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全年全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区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建筑业增加值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24.06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亿元，同比增长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11.6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%；全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区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建筑业总产值实现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24.03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亿元，增长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10.1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%。</w:t>
      </w:r>
    </w:p>
    <w:p w14:paraId="33B4E8AA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sz w:val="28"/>
          <w:szCs w:val="28"/>
          <w:highlight w:val="none"/>
        </w:rPr>
      </w:pPr>
      <w:r>
        <w:rPr>
          <w:rFonts w:hint="eastAsia" w:ascii="宋体" w:hAnsi="宋体" w:cs="宋体"/>
          <w:b/>
          <w:sz w:val="28"/>
          <w:szCs w:val="28"/>
          <w:highlight w:val="none"/>
        </w:rPr>
        <w:t>四、固定资产投资</w:t>
      </w:r>
    </w:p>
    <w:p w14:paraId="022D40E1">
      <w:pPr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全年全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区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完成固定资产投资同比增长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15.9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%。分领域看，工业投资增长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160.9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房地产开发投资下降27.7%，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基础设施投资增长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12.9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%，民间投资增长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356.5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%。分产业看，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第一产业投资增长91.3%，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第二产业投资增长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160.9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%，</w:t>
      </w:r>
      <w:r>
        <w:rPr>
          <w:rFonts w:hint="eastAsia" w:ascii="Times New Roman" w:hAnsi="宋体" w:eastAsia="宋体" w:cs="Times New Roman"/>
          <w:kern w:val="0"/>
          <w:sz w:val="24"/>
          <w:szCs w:val="24"/>
          <w:highlight w:val="none"/>
          <w:lang w:val="en-US" w:eastAsia="zh-CN" w:bidi="ar-SA"/>
        </w:rPr>
        <w:t>占全部固定资产投资的</w:t>
      </w:r>
      <w:r>
        <w:rPr>
          <w:rFonts w:hint="eastAsia" w:ascii="Times New Roman" w:hAnsi="宋体" w:cs="Times New Roman"/>
          <w:kern w:val="0"/>
          <w:sz w:val="24"/>
          <w:szCs w:val="24"/>
          <w:highlight w:val="none"/>
          <w:lang w:val="en-US" w:eastAsia="zh-CN" w:bidi="ar-SA"/>
        </w:rPr>
        <w:t>35.6</w:t>
      </w:r>
      <w:r>
        <w:rPr>
          <w:rFonts w:hint="eastAsia" w:ascii="Times New Roman" w:hAnsi="宋体" w:eastAsia="宋体" w:cs="Times New Roman"/>
          <w:kern w:val="0"/>
          <w:sz w:val="24"/>
          <w:szCs w:val="24"/>
          <w:highlight w:val="none"/>
          <w:lang w:val="en-US" w:eastAsia="zh-CN" w:bidi="ar-SA"/>
        </w:rPr>
        <w:t>%</w:t>
      </w:r>
      <w:r>
        <w:rPr>
          <w:rFonts w:hint="eastAsia" w:ascii="Times New Roman" w:hAnsi="宋体" w:cs="Times New Roman"/>
          <w:kern w:val="0"/>
          <w:sz w:val="24"/>
          <w:szCs w:val="24"/>
          <w:highlight w:val="none"/>
          <w:lang w:val="en-US" w:eastAsia="zh-CN" w:bidi="ar-SA"/>
        </w:rPr>
        <w:t>。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第三产业投资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下降15.4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%，</w:t>
      </w:r>
      <w:r>
        <w:rPr>
          <w:rFonts w:hint="eastAsia" w:ascii="Times New Roman" w:hAnsi="宋体" w:eastAsia="宋体" w:cs="Times New Roman"/>
          <w:kern w:val="0"/>
          <w:sz w:val="24"/>
          <w:szCs w:val="24"/>
          <w:highlight w:val="none"/>
          <w:lang w:val="en-US" w:eastAsia="zh-CN" w:bidi="ar-SA"/>
        </w:rPr>
        <w:t>占全部固定资产投资的</w:t>
      </w:r>
      <w:r>
        <w:rPr>
          <w:rFonts w:hint="eastAsia" w:ascii="Times New Roman" w:hAnsi="宋体" w:eastAsia="宋体" w:cs="Times New Roman"/>
          <w:kern w:val="0"/>
          <w:sz w:val="24"/>
          <w:szCs w:val="24"/>
          <w:highlight w:val="none"/>
          <w:lang w:val="zh-CN" w:eastAsia="zh-CN" w:bidi="ar-SA"/>
        </w:rPr>
        <w:t>增长</w:t>
      </w:r>
      <w:r>
        <w:rPr>
          <w:rFonts w:hint="eastAsia" w:ascii="Times New Roman" w:hAnsi="宋体" w:cs="Times New Roman"/>
          <w:kern w:val="0"/>
          <w:sz w:val="24"/>
          <w:szCs w:val="24"/>
          <w:highlight w:val="none"/>
          <w:lang w:val="en-US" w:eastAsia="zh-CN" w:bidi="ar-SA"/>
        </w:rPr>
        <w:t>61.1</w:t>
      </w:r>
      <w:r>
        <w:rPr>
          <w:rFonts w:hint="eastAsia" w:ascii="Times New Roman" w:hAnsi="宋体" w:eastAsia="宋体" w:cs="Times New Roman"/>
          <w:kern w:val="0"/>
          <w:sz w:val="24"/>
          <w:szCs w:val="24"/>
          <w:highlight w:val="none"/>
          <w:lang w:val="zh-CN" w:eastAsia="zh-CN" w:bidi="ar-SA"/>
        </w:rPr>
        <w:t>%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。</w:t>
      </w:r>
    </w:p>
    <w:p w14:paraId="413DFA0A">
      <w:pPr>
        <w:spacing w:line="560" w:lineRule="exact"/>
        <w:ind w:firstLine="480" w:firstLineChars="200"/>
        <w:rPr>
          <w:rFonts w:hint="eastAsia" w:ascii="Times New Roman" w:hAnsi="宋体" w:eastAsia="宋体" w:cs="Times New Roman"/>
          <w:kern w:val="0"/>
          <w:sz w:val="24"/>
          <w:szCs w:val="24"/>
          <w:highlight w:val="none"/>
          <w:lang w:val="zh-CN" w:eastAsia="zh-CN" w:bidi="ar-SA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全年全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区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完成房地产开发投资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22.49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亿元，下降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27.7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%。其中，住宅投资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20.9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亿元，下降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26.8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%。商品房销售面积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70.0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万平方米，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增长10.5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%；商品房销售额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34.8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亿元，下降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29.5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/>
        </w:rPr>
        <w:t>%。</w:t>
      </w:r>
    </w:p>
    <w:p w14:paraId="33D1E40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/>
          <w:sz w:val="28"/>
          <w:szCs w:val="28"/>
          <w:highlight w:val="none"/>
        </w:rPr>
        <w:t>五、</w:t>
      </w:r>
      <w:r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  <w:t>贸    易</w:t>
      </w:r>
    </w:p>
    <w:p w14:paraId="45AD6A93">
      <w:pPr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全年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全区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社会消费品零售总额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188.90亿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元，比上年增长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7.6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%。</w:t>
      </w:r>
    </w:p>
    <w:p w14:paraId="10B62683">
      <w:pPr>
        <w:spacing w:line="560" w:lineRule="exact"/>
        <w:ind w:firstLine="480" w:firstLineChars="200"/>
        <w:rPr>
          <w:rFonts w:hint="eastAsia"/>
          <w:lang w:val="zh-CN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分行业看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，批发业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销售额89.63亿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元，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同比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0.6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%；零售业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销售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额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195.97亿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元，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同比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增长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10.4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%；住宿业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营业额3.57亿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元，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同比增长7.0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%；餐饮业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营业额24.38亿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元，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同比增长6.0%</w:t>
      </w: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zh-CN" w:eastAsia="zh-CN"/>
        </w:rPr>
        <w:t>。</w:t>
      </w:r>
      <w:bookmarkStart w:id="0" w:name="_GoBack"/>
      <w:bookmarkEnd w:id="0"/>
    </w:p>
    <w:p w14:paraId="3062DCF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  <w:t>六、</w:t>
      </w:r>
      <w:r>
        <w:rPr>
          <w:rFonts w:hint="eastAsia" w:ascii="宋体" w:hAnsi="宋体" w:cs="宋体"/>
          <w:b/>
          <w:sz w:val="28"/>
          <w:szCs w:val="28"/>
          <w:highlight w:val="none"/>
        </w:rPr>
        <w:t>交通</w:t>
      </w:r>
      <w:r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  <w:t>运输</w:t>
      </w:r>
    </w:p>
    <w:p w14:paraId="7AEF67C2">
      <w:pPr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全年全区全年货物运输总量958万吨，货物周转量527270万吨公里；客运量447万人，旅客周转量31778万人公里。</w:t>
      </w:r>
    </w:p>
    <w:p w14:paraId="6B949554">
      <w:pPr>
        <w:spacing w:line="560" w:lineRule="exact"/>
        <w:ind w:firstLine="480" w:firstLineChars="200"/>
        <w:rPr>
          <w:rFonts w:hint="default" w:ascii="Times New Roman" w:hAnsi="宋体" w:cs="Times New Roman"/>
          <w:color w:val="auto"/>
          <w:kern w:val="0"/>
          <w:sz w:val="24"/>
          <w:highlight w:val="none"/>
          <w:lang w:val="en-US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全年全区年末载客汽车866辆，其中，出租车267辆，新能源载客汽车285辆。</w:t>
      </w:r>
    </w:p>
    <w:p w14:paraId="742D478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  <w:t>七、财政和金融</w:t>
      </w:r>
    </w:p>
    <w:p w14:paraId="67BAF021">
      <w:pPr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全年全区一般公共预算收入177594万元，同比增长14.8%。其中，税收收入累计完成120282万元，同比增长12.6%，占一般公共预算收入的67.7%。一般公共预算支出639046万元，同比增长1.6%。</w:t>
      </w:r>
    </w:p>
    <w:p w14:paraId="3B173D4A">
      <w:pPr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全年全区年末金融机构各项存款余额524.61亿元，较年初增加53.04亿元，同比增长11.2%。其中，住户存款余额470.35亿元，比年初增加56.17亿元，同比增长13.6%。金融机构各项贷款余额230.04亿元，比年初增加45.96亿元，同比增长25.0%。</w:t>
      </w:r>
    </w:p>
    <w:p w14:paraId="581EB81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宋体" w:hAnsi="宋体" w:cs="宋体"/>
          <w:b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  <w:t>八、教育和卫生</w:t>
      </w:r>
    </w:p>
    <w:p w14:paraId="37761762">
      <w:pPr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全区各级各类学校352所，毕业生56844人，在校生221233人，招生51071人，教职工17635人。其中，高中学校9所，毕业生6818人，在校生24603人，招生9203人，教职工2507人。初中学校51所，毕业生16972人，在校生50907人，招生17930人，教职工5364人。普通小学学校139所，毕业生17335人，在校生106095人，招生15446人，教职工7089人。幼儿园152所，毕业生15719人，在校生39392人，招生8462人，教职工2646人。</w:t>
      </w:r>
    </w:p>
    <w:p w14:paraId="777E467F">
      <w:pPr>
        <w:spacing w:line="560" w:lineRule="exact"/>
        <w:ind w:firstLine="480" w:firstLineChars="200"/>
        <w:rPr>
          <w:rFonts w:hint="default" w:ascii="Times New Roman" w:hAnsi="宋体" w:cs="Times New Roman"/>
          <w:color w:val="auto"/>
          <w:kern w:val="0"/>
          <w:sz w:val="24"/>
          <w:highlight w:val="none"/>
          <w:lang w:val="en-US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全区年末共有医疗卫生机构55个，其中医院51所，卫生防疫机构1所，妇幼保健机构1所，中等医药卫生学校1所。卫生机构床位数6856个，卫生机构人员数6361个，其中卫生技术人员数5144个。</w:t>
      </w:r>
    </w:p>
    <w:p w14:paraId="59D6779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cs="宋体"/>
          <w:b/>
          <w:sz w:val="28"/>
          <w:szCs w:val="28"/>
          <w:highlight w:val="none"/>
          <w:lang w:val="en-US" w:eastAsia="zh-CN"/>
        </w:rPr>
        <w:t>九、人民生活</w:t>
      </w:r>
    </w:p>
    <w:p w14:paraId="5B0E8F06">
      <w:pPr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highlight w:val="none"/>
          <w:lang w:val="en-US" w:eastAsia="zh-CN"/>
        </w:rPr>
        <w:t>全年全区居民人均可支配收入21650元，比上年增长4.9%。按常住地分，城镇居民人均可支配收入32293元，增长4.3%；农村居民人均可支配收入15456元，增长8.0%。</w:t>
      </w:r>
    </w:p>
    <w:p w14:paraId="42643257">
      <w:pPr>
        <w:spacing w:line="560" w:lineRule="exact"/>
        <w:ind w:firstLine="480" w:firstLineChars="200"/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</w:pPr>
      <w:r>
        <w:rPr>
          <w:rFonts w:hint="eastAsia" w:ascii="Times New Roman" w:hAnsi="宋体" w:cs="Times New Roman"/>
          <w:color w:val="auto"/>
          <w:kern w:val="0"/>
          <w:sz w:val="24"/>
          <w:lang w:val="en-US" w:eastAsia="zh-CN"/>
        </w:rPr>
        <w:t xml:space="preserve"> </w:t>
      </w:r>
    </w:p>
    <w:p w14:paraId="2B91A3F5">
      <w:pPr>
        <w:widowControl/>
        <w:spacing w:line="560" w:lineRule="exact"/>
        <w:ind w:firstLine="480" w:firstLineChars="200"/>
        <w:jc w:val="left"/>
        <w:rPr>
          <w:rFonts w:hint="eastAsia" w:ascii="黑体" w:hAnsi="黑体" w:eastAsia="黑体" w:cs="黑体"/>
          <w:color w:val="333333"/>
          <w:sz w:val="24"/>
        </w:rPr>
      </w:pPr>
    </w:p>
    <w:p w14:paraId="2A0867BF">
      <w:pPr>
        <w:widowControl/>
        <w:spacing w:line="560" w:lineRule="exact"/>
        <w:ind w:firstLine="480" w:firstLineChars="200"/>
        <w:jc w:val="left"/>
        <w:rPr>
          <w:rFonts w:hint="eastAsia" w:ascii="黑体" w:hAnsi="黑体" w:eastAsia="黑体" w:cs="黑体"/>
          <w:color w:val="333333"/>
          <w:sz w:val="24"/>
        </w:rPr>
      </w:pPr>
      <w:r>
        <w:rPr>
          <w:rFonts w:hint="eastAsia" w:ascii="黑体" w:hAnsi="黑体" w:eastAsia="黑体" w:cs="黑体"/>
          <w:color w:val="333333"/>
          <w:sz w:val="24"/>
        </w:rPr>
        <w:t>注释：</w:t>
      </w:r>
    </w:p>
    <w:p w14:paraId="13FE8B33">
      <w:pPr>
        <w:spacing w:line="560" w:lineRule="exact"/>
        <w:ind w:firstLine="480" w:firstLineChars="200"/>
        <w:rPr>
          <w:rFonts w:hint="eastAsia" w:ascii="楷体" w:hAnsi="楷体" w:eastAsia="楷体" w:cs="楷体"/>
          <w:color w:val="000000"/>
          <w:kern w:val="1"/>
          <w:sz w:val="24"/>
        </w:rPr>
      </w:pPr>
      <w:r>
        <w:rPr>
          <w:rFonts w:hint="eastAsia" w:ascii="楷体" w:hAnsi="楷体" w:eastAsia="楷体" w:cs="楷体"/>
          <w:color w:val="000000"/>
          <w:kern w:val="1"/>
          <w:sz w:val="24"/>
        </w:rPr>
        <w:t>[1]本公报202</w:t>
      </w:r>
      <w:r>
        <w:rPr>
          <w:rFonts w:hint="eastAsia" w:ascii="楷体" w:hAnsi="楷体" w:eastAsia="楷体" w:cs="楷体"/>
          <w:color w:val="000000"/>
          <w:kern w:val="1"/>
          <w:sz w:val="24"/>
          <w:lang w:val="en-US" w:eastAsia="zh-CN"/>
        </w:rPr>
        <w:t>3</w:t>
      </w:r>
      <w:r>
        <w:rPr>
          <w:rFonts w:hint="eastAsia" w:ascii="楷体" w:hAnsi="楷体" w:eastAsia="楷体" w:cs="楷体"/>
          <w:color w:val="000000"/>
          <w:kern w:val="1"/>
          <w:sz w:val="24"/>
        </w:rPr>
        <w:t>年数据为初步统计结果。部分数据因四舍五入的原因，存在总计与分项合计不等的情况。</w:t>
      </w:r>
    </w:p>
    <w:p w14:paraId="49AE6A6F">
      <w:pPr>
        <w:spacing w:line="560" w:lineRule="exact"/>
        <w:ind w:firstLine="480" w:firstLineChars="200"/>
        <w:rPr>
          <w:rFonts w:hint="eastAsia" w:ascii="楷体" w:hAnsi="楷体" w:eastAsia="楷体" w:cs="楷体"/>
          <w:color w:val="000000"/>
          <w:kern w:val="1"/>
          <w:sz w:val="24"/>
        </w:rPr>
      </w:pPr>
      <w:r>
        <w:rPr>
          <w:rFonts w:hint="eastAsia" w:ascii="楷体" w:hAnsi="楷体" w:eastAsia="楷体" w:cs="楷体"/>
          <w:color w:val="000000"/>
          <w:kern w:val="1"/>
          <w:sz w:val="24"/>
        </w:rPr>
        <w:t>[</w:t>
      </w:r>
      <w:r>
        <w:rPr>
          <w:rFonts w:hint="eastAsia" w:ascii="楷体" w:hAnsi="楷体" w:eastAsia="楷体" w:cs="楷体"/>
          <w:color w:val="000000"/>
          <w:kern w:val="1"/>
          <w:sz w:val="24"/>
          <w:lang w:val="en-US" w:eastAsia="zh-CN"/>
        </w:rPr>
        <w:t>2</w:t>
      </w:r>
      <w:r>
        <w:rPr>
          <w:rFonts w:hint="eastAsia" w:ascii="楷体" w:hAnsi="楷体" w:eastAsia="楷体" w:cs="楷体"/>
          <w:color w:val="000000"/>
          <w:kern w:val="1"/>
          <w:sz w:val="24"/>
        </w:rPr>
        <w:t>]三次产业分类依据国家统计局2018年修订的《三次产业划分规定》，第一产业是指农、林、牧、渔业（不含农、林、牧、渔专业及辅助性活动）；第二产业是指采矿业（不含开采专业及辅助性活动），制造业（不含金属制品、机械和设备修理业），电力、热力、燃气及水生产和供应业，建筑业；第三产业即服务业，是指除第一产业、第二产业以外的其他行业（剔除国际组织）。</w:t>
      </w:r>
    </w:p>
    <w:p w14:paraId="7FB55D7D">
      <w:pPr>
        <w:spacing w:line="560" w:lineRule="exact"/>
        <w:ind w:firstLine="480" w:firstLineChars="200"/>
        <w:rPr>
          <w:rFonts w:hint="eastAsia" w:ascii="楷体" w:hAnsi="楷体" w:eastAsia="楷体" w:cs="楷体"/>
          <w:color w:val="000000"/>
          <w:kern w:val="1"/>
          <w:sz w:val="24"/>
        </w:rPr>
      </w:pPr>
      <w:r>
        <w:rPr>
          <w:rFonts w:hint="eastAsia" w:ascii="楷体" w:hAnsi="楷体" w:eastAsia="楷体" w:cs="楷体"/>
          <w:color w:val="000000"/>
          <w:kern w:val="1"/>
          <w:sz w:val="24"/>
        </w:rPr>
        <w:t>[</w:t>
      </w:r>
      <w:r>
        <w:rPr>
          <w:rFonts w:hint="eastAsia" w:ascii="楷体" w:hAnsi="楷体" w:eastAsia="楷体" w:cs="楷体"/>
          <w:color w:val="000000"/>
          <w:kern w:val="1"/>
          <w:sz w:val="24"/>
          <w:lang w:val="en-US" w:eastAsia="zh-CN"/>
        </w:rPr>
        <w:t>3</w:t>
      </w:r>
      <w:r>
        <w:rPr>
          <w:rFonts w:hint="eastAsia" w:ascii="楷体" w:hAnsi="楷体" w:eastAsia="楷体" w:cs="楷体"/>
          <w:color w:val="000000"/>
          <w:kern w:val="1"/>
          <w:sz w:val="24"/>
        </w:rPr>
        <w:t>]规模以上工业企业：年主营业务收入达到2000万元及以上的工业法人单位；</w:t>
      </w:r>
    </w:p>
    <w:p w14:paraId="40C903BB">
      <w:pPr>
        <w:spacing w:line="560" w:lineRule="exact"/>
        <w:ind w:firstLine="480" w:firstLineChars="200"/>
        <w:rPr>
          <w:rFonts w:hint="eastAsia" w:ascii="楷体" w:hAnsi="楷体" w:eastAsia="楷体" w:cs="楷体"/>
          <w:color w:val="000000"/>
          <w:kern w:val="1"/>
          <w:sz w:val="24"/>
        </w:rPr>
      </w:pPr>
      <w:r>
        <w:rPr>
          <w:rFonts w:hint="eastAsia" w:ascii="楷体" w:hAnsi="楷体" w:eastAsia="楷体" w:cs="楷体"/>
          <w:color w:val="000000"/>
          <w:kern w:val="1"/>
          <w:sz w:val="24"/>
        </w:rPr>
        <w:t>有资质等级的建筑业和所有房地产开发经营企业：有总承包、专业承包、劳务分包资质的建筑业法人单位和全部房地产开发经营业法人单位；</w:t>
      </w:r>
    </w:p>
    <w:p w14:paraId="3A683763">
      <w:pPr>
        <w:spacing w:line="560" w:lineRule="exact"/>
        <w:ind w:firstLine="480" w:firstLineChars="200"/>
        <w:rPr>
          <w:rFonts w:hint="eastAsia" w:ascii="楷体" w:hAnsi="楷体" w:eastAsia="楷体" w:cs="楷体"/>
          <w:color w:val="000000"/>
          <w:kern w:val="1"/>
          <w:sz w:val="24"/>
        </w:rPr>
      </w:pPr>
      <w:r>
        <w:rPr>
          <w:rFonts w:hint="eastAsia" w:ascii="楷体" w:hAnsi="楷体" w:eastAsia="楷体" w:cs="楷体"/>
          <w:color w:val="000000"/>
          <w:kern w:val="1"/>
          <w:sz w:val="24"/>
        </w:rPr>
        <w:t>限额以上批零住餐企业：年主营业务收入达到2000万元及以上的批发业法人单位，年主营业务收入达到500万元及以上的零售业法人单；年主营业务收入达到200万元及以上的住宿和餐饮业法人单位；</w:t>
      </w:r>
    </w:p>
    <w:p w14:paraId="2542BCB9">
      <w:pPr>
        <w:spacing w:line="560" w:lineRule="exact"/>
        <w:ind w:firstLine="480" w:firstLineChars="200"/>
        <w:rPr>
          <w:rFonts w:hint="eastAsia" w:ascii="楷体" w:hAnsi="楷体" w:eastAsia="楷体" w:cs="楷体"/>
          <w:color w:val="000000"/>
          <w:kern w:val="1"/>
          <w:sz w:val="24"/>
        </w:rPr>
      </w:pPr>
      <w:r>
        <w:rPr>
          <w:rFonts w:hint="eastAsia" w:ascii="楷体" w:hAnsi="楷体" w:eastAsia="楷体" w:cs="楷体"/>
          <w:color w:val="000000"/>
          <w:kern w:val="1"/>
          <w:sz w:val="24"/>
        </w:rPr>
        <w:t>规模以上服务业：年营业收入2000万元及以上服务业法人单位，包括：交通运输、仓储和邮政业，信息传输、软件和信息技术服务业，水利、环境和公共设施管理业三个门类和卫生行业大类；年营业收入1000万元及以上服务业法人单位，包括租赁和商务服务业，科学研究和技术服务业，教育三个门类，以及物业管理、房地产中介服务、房地产租赁经营和其他房地产业四个行业小类；年营业收入500万元及以上服务业法人单位，包括：居民服务、修理和其他服务业，文化、体育和娱乐业两个门类，以及社会工作行业大类。</w:t>
      </w:r>
    </w:p>
    <w:p w14:paraId="09E0D8FC">
      <w:pPr>
        <w:spacing w:line="560" w:lineRule="exact"/>
        <w:ind w:firstLine="480" w:firstLineChars="200"/>
        <w:rPr>
          <w:rFonts w:hint="eastAsia" w:ascii="楷体" w:hAnsi="楷体" w:eastAsia="楷体" w:cs="楷体"/>
          <w:color w:val="FF0000"/>
          <w:kern w:val="1"/>
          <w:sz w:val="24"/>
          <w:highlight w:val="yellow"/>
          <w:lang w:eastAsia="zh-CN"/>
        </w:rPr>
      </w:pPr>
      <w:r>
        <w:rPr>
          <w:rFonts w:hint="eastAsia" w:ascii="楷体" w:hAnsi="楷体" w:eastAsia="楷体" w:cs="楷体"/>
          <w:kern w:val="1"/>
          <w:sz w:val="24"/>
        </w:rPr>
        <w:t>[</w:t>
      </w:r>
      <w:r>
        <w:rPr>
          <w:rFonts w:hint="eastAsia" w:ascii="楷体" w:hAnsi="楷体" w:eastAsia="楷体" w:cs="楷体"/>
          <w:kern w:val="1"/>
          <w:sz w:val="24"/>
          <w:lang w:val="en-US" w:eastAsia="zh-CN"/>
        </w:rPr>
        <w:t>4</w:t>
      </w:r>
      <w:r>
        <w:rPr>
          <w:rFonts w:hint="eastAsia" w:ascii="楷体" w:hAnsi="楷体" w:eastAsia="楷体" w:cs="楷体"/>
          <w:kern w:val="1"/>
          <w:sz w:val="24"/>
        </w:rPr>
        <w:t>]资料来源：本公报中财政数据来自</w:t>
      </w:r>
      <w:r>
        <w:rPr>
          <w:rFonts w:hint="eastAsia" w:ascii="楷体" w:hAnsi="楷体" w:eastAsia="楷体" w:cs="楷体"/>
          <w:kern w:val="1"/>
          <w:sz w:val="24"/>
          <w:lang w:val="en-US" w:eastAsia="zh-CN"/>
        </w:rPr>
        <w:t>区</w:t>
      </w:r>
      <w:r>
        <w:rPr>
          <w:rFonts w:hint="eastAsia" w:ascii="楷体" w:hAnsi="楷体" w:eastAsia="楷体" w:cs="楷体"/>
          <w:kern w:val="1"/>
          <w:sz w:val="24"/>
        </w:rPr>
        <w:t>财政局；公路数据来自</w:t>
      </w:r>
      <w:r>
        <w:rPr>
          <w:rFonts w:hint="eastAsia" w:ascii="楷体" w:hAnsi="楷体" w:eastAsia="楷体" w:cs="楷体"/>
          <w:kern w:val="1"/>
          <w:sz w:val="24"/>
          <w:lang w:val="en-US" w:eastAsia="zh-CN"/>
        </w:rPr>
        <w:t>区</w:t>
      </w:r>
      <w:r>
        <w:rPr>
          <w:rFonts w:hint="eastAsia" w:ascii="楷体" w:hAnsi="楷体" w:eastAsia="楷体" w:cs="楷体"/>
          <w:kern w:val="1"/>
          <w:sz w:val="24"/>
        </w:rPr>
        <w:t>交通局；金融数据来自人行</w:t>
      </w:r>
      <w:r>
        <w:rPr>
          <w:rFonts w:hint="eastAsia" w:ascii="楷体" w:hAnsi="楷体" w:eastAsia="楷体" w:cs="楷体"/>
          <w:kern w:val="1"/>
          <w:sz w:val="24"/>
          <w:lang w:val="en-US" w:eastAsia="zh-CN"/>
        </w:rPr>
        <w:t>淮阳</w:t>
      </w:r>
      <w:r>
        <w:rPr>
          <w:rFonts w:hint="eastAsia" w:ascii="楷体" w:hAnsi="楷体" w:eastAsia="楷体" w:cs="楷体"/>
          <w:kern w:val="1"/>
          <w:sz w:val="24"/>
        </w:rPr>
        <w:t>支行；教育数据来自</w:t>
      </w:r>
      <w:r>
        <w:rPr>
          <w:rFonts w:hint="eastAsia" w:ascii="楷体" w:hAnsi="楷体" w:eastAsia="楷体" w:cs="楷体"/>
          <w:kern w:val="1"/>
          <w:sz w:val="24"/>
          <w:lang w:val="en-US" w:eastAsia="zh-CN"/>
        </w:rPr>
        <w:t>区</w:t>
      </w:r>
      <w:r>
        <w:rPr>
          <w:rFonts w:hint="eastAsia" w:ascii="楷体" w:hAnsi="楷体" w:eastAsia="楷体" w:cs="楷体"/>
          <w:kern w:val="1"/>
          <w:sz w:val="24"/>
        </w:rPr>
        <w:t>教体局；医疗卫生数据来自</w:t>
      </w:r>
      <w:r>
        <w:rPr>
          <w:rFonts w:hint="eastAsia" w:ascii="楷体" w:hAnsi="楷体" w:eastAsia="楷体" w:cs="楷体"/>
          <w:kern w:val="1"/>
          <w:sz w:val="24"/>
          <w:lang w:val="en-US" w:eastAsia="zh-CN"/>
        </w:rPr>
        <w:t>区</w:t>
      </w:r>
      <w:r>
        <w:rPr>
          <w:rFonts w:hint="eastAsia" w:ascii="楷体" w:hAnsi="楷体" w:eastAsia="楷体" w:cs="楷体"/>
          <w:kern w:val="1"/>
          <w:sz w:val="24"/>
        </w:rPr>
        <w:t>卫健委；城乡收入数据来自国家统计局</w:t>
      </w:r>
      <w:r>
        <w:rPr>
          <w:rFonts w:hint="eastAsia" w:ascii="楷体" w:hAnsi="楷体" w:eastAsia="楷体" w:cs="楷体"/>
          <w:kern w:val="1"/>
          <w:sz w:val="24"/>
          <w:lang w:val="en-US" w:eastAsia="zh-CN"/>
        </w:rPr>
        <w:t>淮阳</w:t>
      </w:r>
      <w:r>
        <w:rPr>
          <w:rFonts w:hint="eastAsia" w:ascii="楷体" w:hAnsi="楷体" w:eastAsia="楷体" w:cs="楷体"/>
          <w:kern w:val="1"/>
          <w:sz w:val="24"/>
        </w:rPr>
        <w:t>调查队；</w:t>
      </w:r>
      <w:r>
        <w:rPr>
          <w:rFonts w:hint="eastAsia" w:ascii="楷体" w:hAnsi="楷体" w:eastAsia="楷体" w:cs="楷体"/>
          <w:kern w:val="1"/>
          <w:sz w:val="24"/>
          <w:lang w:val="en-US" w:eastAsia="zh-CN"/>
        </w:rPr>
        <w:t>气象数据来自区气象局；</w:t>
      </w:r>
      <w:r>
        <w:rPr>
          <w:rFonts w:hint="eastAsia" w:ascii="楷体" w:hAnsi="楷体" w:eastAsia="楷体" w:cs="楷体"/>
          <w:kern w:val="1"/>
          <w:sz w:val="24"/>
        </w:rPr>
        <w:t>其他数据来自</w:t>
      </w:r>
      <w:r>
        <w:rPr>
          <w:rFonts w:hint="eastAsia" w:ascii="楷体" w:hAnsi="楷体" w:eastAsia="楷体" w:cs="楷体"/>
          <w:kern w:val="1"/>
          <w:sz w:val="24"/>
          <w:lang w:val="en-US" w:eastAsia="zh-CN"/>
        </w:rPr>
        <w:t>区</w:t>
      </w:r>
      <w:r>
        <w:rPr>
          <w:rFonts w:hint="eastAsia" w:ascii="楷体" w:hAnsi="楷体" w:eastAsia="楷体" w:cs="楷体"/>
          <w:kern w:val="1"/>
          <w:sz w:val="24"/>
        </w:rPr>
        <w:t>统计局。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enlo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1FC589">
    <w:pPr>
      <w:pStyle w:val="9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2540635</wp:posOffset>
              </wp:positionH>
              <wp:positionV relativeFrom="paragraph">
                <wp:posOffset>0</wp:posOffset>
              </wp:positionV>
              <wp:extent cx="701040" cy="139700"/>
              <wp:effectExtent l="0" t="0" r="0" b="0"/>
              <wp:wrapNone/>
              <wp:docPr id="1" name="Text Box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0104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962B9B0">
                          <w:pPr>
                            <w:snapToGrid w:val="0"/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025" o:spid="_x0000_s1026" o:spt="202" type="#_x0000_t202" style="position:absolute;left:0pt;margin-left:200.05pt;margin-top:0pt;height:11pt;width:55.2pt;mso-position-horizontal-relative:margin;z-index:251660288;mso-width-relative:page;mso-height-relative:page;" filled="f" stroked="f" coordsize="21600,21600" o:gfxdata="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wdZSv9MAAAAHAQAADwAAAAAAAAABACAAAAAiAAAAZHJzL2Rvd25yZXYueG1s&#10;UEsBAhQAFAAAAAgAh07iQGrBliD9AQAABgQAAA4AAAAAAAAAAQAgAAAAIgEAAGRycy9lMm9Eb2Mu&#10;eG1sUEsFBgAAAAAGAAYAWQEAAJE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962B9B0">
                    <w:pPr>
                      <w:snapToGrid w:val="0"/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Theme="minorEastAsia" w:hAnsiTheme="minorEastAsia" w:eastAsiaTheme="minorEastAsia" w:cstheme="minorEastAsia"/>
                        <w:sz w:val="28"/>
                        <w:szCs w:val="28"/>
                      </w:rPr>
                      <w:t>- 4 -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I1OWFhNGE2ZmEyZmMwODkxOTQzZDQzZmY1ZDYyNTIifQ=="/>
  </w:docVars>
  <w:rsids>
    <w:rsidRoot w:val="00B0068E"/>
    <w:rsid w:val="000D6B34"/>
    <w:rsid w:val="0016459D"/>
    <w:rsid w:val="00207774"/>
    <w:rsid w:val="00266718"/>
    <w:rsid w:val="002C309A"/>
    <w:rsid w:val="002F50A2"/>
    <w:rsid w:val="003A1F3C"/>
    <w:rsid w:val="003E5204"/>
    <w:rsid w:val="00403708"/>
    <w:rsid w:val="004118A4"/>
    <w:rsid w:val="00495AA8"/>
    <w:rsid w:val="004B5B83"/>
    <w:rsid w:val="00533022"/>
    <w:rsid w:val="00544B75"/>
    <w:rsid w:val="005755EF"/>
    <w:rsid w:val="005E3F43"/>
    <w:rsid w:val="00711644"/>
    <w:rsid w:val="00723B6C"/>
    <w:rsid w:val="007C6963"/>
    <w:rsid w:val="007F153D"/>
    <w:rsid w:val="00905357"/>
    <w:rsid w:val="009F13A9"/>
    <w:rsid w:val="00A20AC3"/>
    <w:rsid w:val="00A5143E"/>
    <w:rsid w:val="00A57218"/>
    <w:rsid w:val="00AA543C"/>
    <w:rsid w:val="00AF3D6A"/>
    <w:rsid w:val="00B0068E"/>
    <w:rsid w:val="00BA37C5"/>
    <w:rsid w:val="00BF2DCF"/>
    <w:rsid w:val="00C54B4F"/>
    <w:rsid w:val="00C724C2"/>
    <w:rsid w:val="00D95BE7"/>
    <w:rsid w:val="00E62D51"/>
    <w:rsid w:val="023B6BC5"/>
    <w:rsid w:val="02422E3C"/>
    <w:rsid w:val="02770B0F"/>
    <w:rsid w:val="02FF01FA"/>
    <w:rsid w:val="03282EFC"/>
    <w:rsid w:val="03C3096B"/>
    <w:rsid w:val="03E75194"/>
    <w:rsid w:val="03F44B91"/>
    <w:rsid w:val="040D01CB"/>
    <w:rsid w:val="0528257B"/>
    <w:rsid w:val="0543026B"/>
    <w:rsid w:val="056A6906"/>
    <w:rsid w:val="06314738"/>
    <w:rsid w:val="06430726"/>
    <w:rsid w:val="07BC63DE"/>
    <w:rsid w:val="07F341CA"/>
    <w:rsid w:val="083245C7"/>
    <w:rsid w:val="084350B7"/>
    <w:rsid w:val="08461C06"/>
    <w:rsid w:val="084E1401"/>
    <w:rsid w:val="0A2E6EC1"/>
    <w:rsid w:val="0A9520BC"/>
    <w:rsid w:val="0ADF474F"/>
    <w:rsid w:val="0BD94E12"/>
    <w:rsid w:val="0CA43CE5"/>
    <w:rsid w:val="0D8739B7"/>
    <w:rsid w:val="0D952FEF"/>
    <w:rsid w:val="0DB96584"/>
    <w:rsid w:val="0E411DB8"/>
    <w:rsid w:val="0FDB3C0D"/>
    <w:rsid w:val="106F69AA"/>
    <w:rsid w:val="109376FA"/>
    <w:rsid w:val="10FC6D8B"/>
    <w:rsid w:val="11586E4C"/>
    <w:rsid w:val="12ED4754"/>
    <w:rsid w:val="138F6896"/>
    <w:rsid w:val="147E456B"/>
    <w:rsid w:val="151237B6"/>
    <w:rsid w:val="1568787A"/>
    <w:rsid w:val="156F0307"/>
    <w:rsid w:val="15A106F2"/>
    <w:rsid w:val="15DB580B"/>
    <w:rsid w:val="168D3A3C"/>
    <w:rsid w:val="16D36371"/>
    <w:rsid w:val="16DF7229"/>
    <w:rsid w:val="171E3802"/>
    <w:rsid w:val="1789535B"/>
    <w:rsid w:val="178A1D29"/>
    <w:rsid w:val="1861692D"/>
    <w:rsid w:val="18C02642"/>
    <w:rsid w:val="18D075E7"/>
    <w:rsid w:val="196C7F91"/>
    <w:rsid w:val="19B4308D"/>
    <w:rsid w:val="19BD7254"/>
    <w:rsid w:val="19CE163C"/>
    <w:rsid w:val="1A396C03"/>
    <w:rsid w:val="1BE0016A"/>
    <w:rsid w:val="1CA44F43"/>
    <w:rsid w:val="1CB97D41"/>
    <w:rsid w:val="1CF96EE4"/>
    <w:rsid w:val="1D5D243D"/>
    <w:rsid w:val="1DD12D29"/>
    <w:rsid w:val="1EB66707"/>
    <w:rsid w:val="1EE342D9"/>
    <w:rsid w:val="1F2F0B3C"/>
    <w:rsid w:val="1F3F33F9"/>
    <w:rsid w:val="1FEE0FF7"/>
    <w:rsid w:val="20D7A4E1"/>
    <w:rsid w:val="21831890"/>
    <w:rsid w:val="2191411F"/>
    <w:rsid w:val="22E24B7F"/>
    <w:rsid w:val="245E4322"/>
    <w:rsid w:val="24794644"/>
    <w:rsid w:val="25AD4EED"/>
    <w:rsid w:val="261310D6"/>
    <w:rsid w:val="270D533A"/>
    <w:rsid w:val="28A6098D"/>
    <w:rsid w:val="28C13A14"/>
    <w:rsid w:val="28F01110"/>
    <w:rsid w:val="295E61D7"/>
    <w:rsid w:val="29AF561F"/>
    <w:rsid w:val="29B570DA"/>
    <w:rsid w:val="2A1C6C7B"/>
    <w:rsid w:val="2A21724B"/>
    <w:rsid w:val="2A4A0BE6"/>
    <w:rsid w:val="2AA73737"/>
    <w:rsid w:val="2AE00C88"/>
    <w:rsid w:val="2B355336"/>
    <w:rsid w:val="2BAF201E"/>
    <w:rsid w:val="2BCC24B9"/>
    <w:rsid w:val="2C8F66B8"/>
    <w:rsid w:val="2D371BB4"/>
    <w:rsid w:val="2D5E11CC"/>
    <w:rsid w:val="2E5074CD"/>
    <w:rsid w:val="2EA8720D"/>
    <w:rsid w:val="31CD5A4A"/>
    <w:rsid w:val="320C16DA"/>
    <w:rsid w:val="324B4C43"/>
    <w:rsid w:val="32FA2702"/>
    <w:rsid w:val="33F92A00"/>
    <w:rsid w:val="340E5685"/>
    <w:rsid w:val="34167907"/>
    <w:rsid w:val="34277ABB"/>
    <w:rsid w:val="343E1A7A"/>
    <w:rsid w:val="34FC3148"/>
    <w:rsid w:val="352E1AEE"/>
    <w:rsid w:val="35C75346"/>
    <w:rsid w:val="35FAA509"/>
    <w:rsid w:val="36327974"/>
    <w:rsid w:val="36AC53C0"/>
    <w:rsid w:val="36CDF842"/>
    <w:rsid w:val="36ED5D04"/>
    <w:rsid w:val="371B1F99"/>
    <w:rsid w:val="37D42812"/>
    <w:rsid w:val="38506218"/>
    <w:rsid w:val="38EA0422"/>
    <w:rsid w:val="39BF39BF"/>
    <w:rsid w:val="3ADA28D1"/>
    <w:rsid w:val="3B33724B"/>
    <w:rsid w:val="3B3921EE"/>
    <w:rsid w:val="3B660234"/>
    <w:rsid w:val="3B8979CF"/>
    <w:rsid w:val="3BA43226"/>
    <w:rsid w:val="3BE13D5E"/>
    <w:rsid w:val="3BF54158"/>
    <w:rsid w:val="3CC84541"/>
    <w:rsid w:val="3CFA8848"/>
    <w:rsid w:val="3D235CB1"/>
    <w:rsid w:val="3D5B1FEA"/>
    <w:rsid w:val="3DFFF7E6"/>
    <w:rsid w:val="3E5385FB"/>
    <w:rsid w:val="3F7DD494"/>
    <w:rsid w:val="3F863D41"/>
    <w:rsid w:val="3FB86062"/>
    <w:rsid w:val="3FB928FC"/>
    <w:rsid w:val="3FFD0F2C"/>
    <w:rsid w:val="40B27A77"/>
    <w:rsid w:val="40BC669F"/>
    <w:rsid w:val="40DA4CE7"/>
    <w:rsid w:val="4104029D"/>
    <w:rsid w:val="41110C42"/>
    <w:rsid w:val="41320BB8"/>
    <w:rsid w:val="41781DB9"/>
    <w:rsid w:val="41C07F72"/>
    <w:rsid w:val="41F067AB"/>
    <w:rsid w:val="429C4144"/>
    <w:rsid w:val="431D1CC0"/>
    <w:rsid w:val="43813731"/>
    <w:rsid w:val="440A3726"/>
    <w:rsid w:val="443B7D84"/>
    <w:rsid w:val="443C0366"/>
    <w:rsid w:val="44670FE9"/>
    <w:rsid w:val="44B47F70"/>
    <w:rsid w:val="45D73ADC"/>
    <w:rsid w:val="45EE2F12"/>
    <w:rsid w:val="46E43EF9"/>
    <w:rsid w:val="47C135FB"/>
    <w:rsid w:val="47C95084"/>
    <w:rsid w:val="482823C9"/>
    <w:rsid w:val="48854A43"/>
    <w:rsid w:val="493E56E4"/>
    <w:rsid w:val="495E079C"/>
    <w:rsid w:val="496D279F"/>
    <w:rsid w:val="4A8E6E5F"/>
    <w:rsid w:val="4A984753"/>
    <w:rsid w:val="4AF9753E"/>
    <w:rsid w:val="4C0A4C0B"/>
    <w:rsid w:val="4C426F80"/>
    <w:rsid w:val="4CAF426B"/>
    <w:rsid w:val="4CDB2104"/>
    <w:rsid w:val="4D52686A"/>
    <w:rsid w:val="4DA93FB0"/>
    <w:rsid w:val="4DBD3E61"/>
    <w:rsid w:val="4DF76C1B"/>
    <w:rsid w:val="4F5653B8"/>
    <w:rsid w:val="4F644633"/>
    <w:rsid w:val="4F9F1659"/>
    <w:rsid w:val="4FC60E49"/>
    <w:rsid w:val="4FDFBEB6"/>
    <w:rsid w:val="50016A06"/>
    <w:rsid w:val="50C40074"/>
    <w:rsid w:val="50EE0D9F"/>
    <w:rsid w:val="51063016"/>
    <w:rsid w:val="52B4767F"/>
    <w:rsid w:val="53EB7996"/>
    <w:rsid w:val="53F62D0C"/>
    <w:rsid w:val="546E1AAF"/>
    <w:rsid w:val="55216577"/>
    <w:rsid w:val="55357899"/>
    <w:rsid w:val="55FA184D"/>
    <w:rsid w:val="56222B52"/>
    <w:rsid w:val="567C0E13"/>
    <w:rsid w:val="571B7CCD"/>
    <w:rsid w:val="57BD889F"/>
    <w:rsid w:val="58005114"/>
    <w:rsid w:val="58640994"/>
    <w:rsid w:val="589C434F"/>
    <w:rsid w:val="58D378D4"/>
    <w:rsid w:val="595419A2"/>
    <w:rsid w:val="59F20A02"/>
    <w:rsid w:val="5A13578C"/>
    <w:rsid w:val="5A1F1135"/>
    <w:rsid w:val="5A713E1B"/>
    <w:rsid w:val="5C051A69"/>
    <w:rsid w:val="5C4200D5"/>
    <w:rsid w:val="5C6C5233"/>
    <w:rsid w:val="5C6F4617"/>
    <w:rsid w:val="5CCE4C5B"/>
    <w:rsid w:val="5DA775E4"/>
    <w:rsid w:val="5DB01517"/>
    <w:rsid w:val="5DB3770C"/>
    <w:rsid w:val="5DE22C69"/>
    <w:rsid w:val="5EC255FF"/>
    <w:rsid w:val="5F7D65C8"/>
    <w:rsid w:val="5F7F17C1"/>
    <w:rsid w:val="5F9F8131"/>
    <w:rsid w:val="5FA602FB"/>
    <w:rsid w:val="5FB1193E"/>
    <w:rsid w:val="5FB7A530"/>
    <w:rsid w:val="5FDD3F72"/>
    <w:rsid w:val="5FEF8CA6"/>
    <w:rsid w:val="6007774F"/>
    <w:rsid w:val="60611A62"/>
    <w:rsid w:val="61903065"/>
    <w:rsid w:val="62311152"/>
    <w:rsid w:val="62645C0C"/>
    <w:rsid w:val="632121C7"/>
    <w:rsid w:val="6341552A"/>
    <w:rsid w:val="637F5A87"/>
    <w:rsid w:val="638661DB"/>
    <w:rsid w:val="63FA5C4D"/>
    <w:rsid w:val="64B40B31"/>
    <w:rsid w:val="64DB0A9B"/>
    <w:rsid w:val="64F32289"/>
    <w:rsid w:val="64FC31A3"/>
    <w:rsid w:val="656B781B"/>
    <w:rsid w:val="658716F1"/>
    <w:rsid w:val="65BC6B1F"/>
    <w:rsid w:val="667930B3"/>
    <w:rsid w:val="677538E2"/>
    <w:rsid w:val="67A96C2F"/>
    <w:rsid w:val="67BF0A16"/>
    <w:rsid w:val="67BF61BC"/>
    <w:rsid w:val="68241D63"/>
    <w:rsid w:val="68865695"/>
    <w:rsid w:val="68B322B9"/>
    <w:rsid w:val="691F7AB8"/>
    <w:rsid w:val="692339CE"/>
    <w:rsid w:val="695F3444"/>
    <w:rsid w:val="69766A05"/>
    <w:rsid w:val="6A7B295E"/>
    <w:rsid w:val="6ADF0BB9"/>
    <w:rsid w:val="6BA54493"/>
    <w:rsid w:val="6C0134DD"/>
    <w:rsid w:val="6C882293"/>
    <w:rsid w:val="6D1E0B73"/>
    <w:rsid w:val="6D521B17"/>
    <w:rsid w:val="6D6F30FB"/>
    <w:rsid w:val="6DD97FCE"/>
    <w:rsid w:val="6DEE7671"/>
    <w:rsid w:val="6E4F6056"/>
    <w:rsid w:val="6EEEF336"/>
    <w:rsid w:val="6F505500"/>
    <w:rsid w:val="6FBCB669"/>
    <w:rsid w:val="6FD607DD"/>
    <w:rsid w:val="6FEECBD4"/>
    <w:rsid w:val="6FEF189F"/>
    <w:rsid w:val="6FF7ED3F"/>
    <w:rsid w:val="70256027"/>
    <w:rsid w:val="705E3FA3"/>
    <w:rsid w:val="71285DFD"/>
    <w:rsid w:val="71695241"/>
    <w:rsid w:val="71757B5C"/>
    <w:rsid w:val="71BE5A33"/>
    <w:rsid w:val="72E27499"/>
    <w:rsid w:val="73CD6E05"/>
    <w:rsid w:val="7418231F"/>
    <w:rsid w:val="7447614D"/>
    <w:rsid w:val="745C07C0"/>
    <w:rsid w:val="75782FAA"/>
    <w:rsid w:val="75834F63"/>
    <w:rsid w:val="75BBE7E2"/>
    <w:rsid w:val="75FEC0DF"/>
    <w:rsid w:val="767D5622"/>
    <w:rsid w:val="772E421E"/>
    <w:rsid w:val="77FFFC4C"/>
    <w:rsid w:val="782E60A3"/>
    <w:rsid w:val="7840713B"/>
    <w:rsid w:val="784C39A7"/>
    <w:rsid w:val="7ABA4D3E"/>
    <w:rsid w:val="7AD06317"/>
    <w:rsid w:val="7B136D89"/>
    <w:rsid w:val="7B735A7A"/>
    <w:rsid w:val="7B799C21"/>
    <w:rsid w:val="7BBF2A6D"/>
    <w:rsid w:val="7BD86900"/>
    <w:rsid w:val="7BDD075A"/>
    <w:rsid w:val="7C484810"/>
    <w:rsid w:val="7CD4226B"/>
    <w:rsid w:val="7D2C1629"/>
    <w:rsid w:val="7D2EC2E0"/>
    <w:rsid w:val="7DA46E65"/>
    <w:rsid w:val="7DB743FC"/>
    <w:rsid w:val="7DC13A3B"/>
    <w:rsid w:val="7DC458E2"/>
    <w:rsid w:val="7DFEEC72"/>
    <w:rsid w:val="7DFF5076"/>
    <w:rsid w:val="7EB23097"/>
    <w:rsid w:val="7EEFBB92"/>
    <w:rsid w:val="7F1A7618"/>
    <w:rsid w:val="7F7FDDAE"/>
    <w:rsid w:val="7F945AF8"/>
    <w:rsid w:val="7FA278D5"/>
    <w:rsid w:val="7FFFCB58"/>
    <w:rsid w:val="91BB1A1D"/>
    <w:rsid w:val="9EF53BE5"/>
    <w:rsid w:val="9FD32242"/>
    <w:rsid w:val="AF6B1E60"/>
    <w:rsid w:val="B5FF4110"/>
    <w:rsid w:val="BCE7BEB3"/>
    <w:rsid w:val="BEB77FEA"/>
    <w:rsid w:val="BFF7752A"/>
    <w:rsid w:val="C776A3E5"/>
    <w:rsid w:val="D53BD36C"/>
    <w:rsid w:val="D913E746"/>
    <w:rsid w:val="DCDCB69C"/>
    <w:rsid w:val="DF6DC8BF"/>
    <w:rsid w:val="DFDA9522"/>
    <w:rsid w:val="E67B062E"/>
    <w:rsid w:val="E6FD65CF"/>
    <w:rsid w:val="EB7FD69E"/>
    <w:rsid w:val="EBB72C40"/>
    <w:rsid w:val="ED5664C2"/>
    <w:rsid w:val="EE57885C"/>
    <w:rsid w:val="EFA783FB"/>
    <w:rsid w:val="EFDDEDA7"/>
    <w:rsid w:val="F1EE157B"/>
    <w:rsid w:val="F35FC2B8"/>
    <w:rsid w:val="F49F0DF6"/>
    <w:rsid w:val="F6573BD5"/>
    <w:rsid w:val="F6FDC238"/>
    <w:rsid w:val="F7750CB7"/>
    <w:rsid w:val="F77FA9B1"/>
    <w:rsid w:val="F7BF52CF"/>
    <w:rsid w:val="F7DCE5E6"/>
    <w:rsid w:val="F7F10CE7"/>
    <w:rsid w:val="F8E5978F"/>
    <w:rsid w:val="F9EBEABC"/>
    <w:rsid w:val="FB733275"/>
    <w:rsid w:val="FBB20EF9"/>
    <w:rsid w:val="FBE7D801"/>
    <w:rsid w:val="FD7F07A1"/>
    <w:rsid w:val="FEBFD8C7"/>
    <w:rsid w:val="FEF7DD38"/>
    <w:rsid w:val="FF7EA732"/>
    <w:rsid w:val="FFAF65EE"/>
    <w:rsid w:val="FFEE5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paragraph" w:styleId="7">
    <w:name w:val="heading 2"/>
    <w:basedOn w:val="1"/>
    <w:next w:val="1"/>
    <w:autoRedefine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cs="Times New Roman"/>
      <w:b/>
      <w:kern w:val="0"/>
      <w:sz w:val="36"/>
      <w:szCs w:val="36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spacing w:line="600" w:lineRule="exact"/>
      <w:ind w:firstLine="420"/>
    </w:pPr>
    <w:rPr>
      <w:rFonts w:ascii="Times New Roman" w:hAnsi="Times New Roman" w:eastAsia="宋体" w:cs="Times New Roman"/>
      <w:bCs/>
      <w:sz w:val="30"/>
    </w:rPr>
  </w:style>
  <w:style w:type="paragraph" w:styleId="3">
    <w:name w:val="Body Text"/>
    <w:basedOn w:val="1"/>
    <w:next w:val="1"/>
    <w:autoRedefine/>
    <w:qFormat/>
    <w:uiPriority w:val="0"/>
    <w:pPr>
      <w:spacing w:line="240" w:lineRule="atLeast"/>
    </w:pPr>
    <w:rPr>
      <w:rFonts w:ascii="仿宋_GB2312" w:eastAsia="仿宋_GB2312"/>
      <w:sz w:val="32"/>
    </w:rPr>
  </w:style>
  <w:style w:type="paragraph" w:styleId="4">
    <w:name w:val="Body Text First Indent 2"/>
    <w:basedOn w:val="5"/>
    <w:next w:val="1"/>
    <w:autoRedefine/>
    <w:qFormat/>
    <w:uiPriority w:val="0"/>
    <w:pPr>
      <w:ind w:firstLine="420" w:firstLineChars="200"/>
    </w:pPr>
    <w:rPr>
      <w:rFonts w:ascii="Times New Roman" w:hAnsi="Times New Roman"/>
    </w:rPr>
  </w:style>
  <w:style w:type="paragraph" w:styleId="5">
    <w:name w:val="Body Text Indent"/>
    <w:basedOn w:val="1"/>
    <w:next w:val="6"/>
    <w:qFormat/>
    <w:uiPriority w:val="0"/>
    <w:pPr>
      <w:ind w:firstLine="560"/>
    </w:pPr>
    <w:rPr>
      <w:rFonts w:ascii="宋体" w:hAnsi="宋体" w:eastAsia="宋体" w:cs="Times New Roman"/>
      <w:bCs/>
      <w:kern w:val="11"/>
    </w:rPr>
  </w:style>
  <w:style w:type="paragraph" w:styleId="6">
    <w:name w:val="Body Text Indent 2"/>
    <w:basedOn w:val="1"/>
    <w:next w:val="1"/>
    <w:qFormat/>
    <w:uiPriority w:val="0"/>
    <w:pPr>
      <w:spacing w:line="474" w:lineRule="exact"/>
      <w:ind w:firstLine="645"/>
    </w:pPr>
    <w:rPr>
      <w:rFonts w:ascii="Calibri" w:hAnsi="Calibri" w:eastAsia="宋体" w:cs="Times New Roman"/>
      <w:spacing w:val="10"/>
      <w:sz w:val="28"/>
    </w:rPr>
  </w:style>
  <w:style w:type="paragraph" w:styleId="8">
    <w:name w:val="Balloon Text"/>
    <w:basedOn w:val="1"/>
    <w:link w:val="36"/>
    <w:qFormat/>
    <w:uiPriority w:val="0"/>
    <w:rPr>
      <w:sz w:val="18"/>
      <w:szCs w:val="18"/>
    </w:rPr>
  </w:style>
  <w:style w:type="paragraph" w:styleId="9">
    <w:name w:val="footer"/>
    <w:basedOn w:val="1"/>
    <w:autoRedefine/>
    <w:qFormat/>
    <w:uiPriority w:val="0"/>
    <w:pPr>
      <w:tabs>
        <w:tab w:val="center" w:pos="4153"/>
        <w:tab w:val="right" w:pos="8305"/>
      </w:tabs>
      <w:jc w:val="left"/>
    </w:pPr>
    <w:rPr>
      <w:kern w:val="1"/>
      <w:sz w:val="18"/>
      <w:szCs w:val="18"/>
    </w:rPr>
  </w:style>
  <w:style w:type="paragraph" w:styleId="10">
    <w:name w:val="header"/>
    <w:basedOn w:val="1"/>
    <w:link w:val="35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HTML Preformatted"/>
    <w:basedOn w:val="1"/>
    <w:autoRedefine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cs="Times New Roman"/>
      <w:kern w:val="0"/>
      <w:sz w:val="24"/>
    </w:rPr>
  </w:style>
  <w:style w:type="paragraph" w:styleId="12">
    <w:name w:val="Normal (Web)"/>
    <w:basedOn w:val="1"/>
    <w:qFormat/>
    <w:uiPriority w:val="0"/>
    <w:rPr>
      <w:sz w:val="24"/>
    </w:rPr>
  </w:style>
  <w:style w:type="character" w:styleId="15">
    <w:name w:val="Strong"/>
    <w:autoRedefine/>
    <w:qFormat/>
    <w:uiPriority w:val="0"/>
    <w:rPr>
      <w:b/>
    </w:rPr>
  </w:style>
  <w:style w:type="character" w:styleId="16">
    <w:name w:val="FollowedHyperlink"/>
    <w:qFormat/>
    <w:uiPriority w:val="0"/>
    <w:rPr>
      <w:rFonts w:hint="eastAsia" w:ascii="微软雅黑" w:hAnsi="微软雅黑" w:eastAsia="微软雅黑" w:cs="微软雅黑"/>
      <w:color w:val="666666"/>
      <w:sz w:val="21"/>
      <w:szCs w:val="21"/>
      <w:u w:val="single"/>
    </w:rPr>
  </w:style>
  <w:style w:type="character" w:styleId="17">
    <w:name w:val="Hyperlink"/>
    <w:qFormat/>
    <w:uiPriority w:val="0"/>
    <w:rPr>
      <w:rFonts w:ascii="微软雅黑" w:hAnsi="微软雅黑" w:eastAsia="微软雅黑" w:cs="微软雅黑"/>
      <w:color w:val="666666"/>
      <w:sz w:val="21"/>
      <w:szCs w:val="21"/>
      <w:u w:val="single"/>
    </w:rPr>
  </w:style>
  <w:style w:type="paragraph" w:customStyle="1" w:styleId="18">
    <w:name w:val="批注框文本1"/>
    <w:basedOn w:val="1"/>
    <w:link w:val="19"/>
    <w:qFormat/>
    <w:uiPriority w:val="0"/>
    <w:rPr>
      <w:sz w:val="18"/>
      <w:szCs w:val="18"/>
    </w:rPr>
  </w:style>
  <w:style w:type="character" w:customStyle="1" w:styleId="19">
    <w:name w:val="批注框文本 Char"/>
    <w:link w:val="18"/>
    <w:autoRedefine/>
    <w:semiHidden/>
    <w:qFormat/>
    <w:uiPriority w:val="0"/>
    <w:rPr>
      <w:rFonts w:ascii="Calibri" w:hAnsi="Calibri" w:eastAsia="宋体" w:cs="黑体"/>
      <w:kern w:val="2"/>
      <w:sz w:val="18"/>
      <w:szCs w:val="18"/>
    </w:rPr>
  </w:style>
  <w:style w:type="paragraph" w:customStyle="1" w:styleId="20">
    <w:name w:val="纯文本1"/>
    <w:basedOn w:val="1"/>
    <w:qFormat/>
    <w:uiPriority w:val="0"/>
    <w:pPr>
      <w:spacing w:before="100" w:beforeAutospacing="1" w:after="100" w:afterAutospacing="1"/>
    </w:pPr>
    <w:rPr>
      <w:rFonts w:ascii="宋体" w:hAnsi="宋体" w:cs="宋体"/>
      <w:sz w:val="24"/>
    </w:rPr>
  </w:style>
  <w:style w:type="paragraph" w:customStyle="1" w:styleId="21">
    <w:name w:val="普通(网站)1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22">
    <w:name w:val="正文首行缩进1"/>
    <w:basedOn w:val="3"/>
    <w:next w:val="20"/>
    <w:qFormat/>
    <w:uiPriority w:val="0"/>
    <w:pPr>
      <w:ind w:firstLine="420" w:firstLineChars="100"/>
    </w:pPr>
    <w:rPr>
      <w:rFonts w:ascii="Times New Roman" w:hAnsi="Times New Roman" w:cs="Times New Roman"/>
    </w:rPr>
  </w:style>
  <w:style w:type="character" w:customStyle="1" w:styleId="23">
    <w:name w:val="HTML 定义1"/>
    <w:autoRedefine/>
    <w:qFormat/>
    <w:uiPriority w:val="0"/>
    <w:rPr>
      <w:i/>
    </w:rPr>
  </w:style>
  <w:style w:type="character" w:customStyle="1" w:styleId="24">
    <w:name w:val="HTML 代码1"/>
    <w:qFormat/>
    <w:uiPriority w:val="0"/>
    <w:rPr>
      <w:rFonts w:ascii="Menlo" w:hAnsi="Menlo" w:eastAsia="Menlo" w:cs="Menlo"/>
      <w:color w:val="C7254E"/>
      <w:sz w:val="21"/>
      <w:szCs w:val="21"/>
      <w:shd w:val="clear" w:color="auto" w:fill="F9F2F4"/>
    </w:rPr>
  </w:style>
  <w:style w:type="character" w:customStyle="1" w:styleId="25">
    <w:name w:val="HTML 键盘1"/>
    <w:qFormat/>
    <w:uiPriority w:val="0"/>
    <w:rPr>
      <w:rFonts w:hint="default" w:ascii="Menlo" w:hAnsi="Menlo" w:eastAsia="Menlo" w:cs="Menlo"/>
      <w:color w:val="FFFFFF"/>
      <w:sz w:val="21"/>
      <w:szCs w:val="21"/>
      <w:shd w:val="clear" w:color="auto" w:fill="333333"/>
    </w:rPr>
  </w:style>
  <w:style w:type="character" w:customStyle="1" w:styleId="26">
    <w:name w:val="HTML 样本1"/>
    <w:qFormat/>
    <w:uiPriority w:val="0"/>
    <w:rPr>
      <w:rFonts w:hint="default" w:ascii="Menlo" w:hAnsi="Menlo" w:eastAsia="Menlo" w:cs="Menlo"/>
      <w:sz w:val="21"/>
      <w:szCs w:val="21"/>
    </w:rPr>
  </w:style>
  <w:style w:type="character" w:customStyle="1" w:styleId="27">
    <w:name w:val="glyphicon2"/>
    <w:basedOn w:val="14"/>
    <w:qFormat/>
    <w:uiPriority w:val="0"/>
  </w:style>
  <w:style w:type="character" w:customStyle="1" w:styleId="28">
    <w:name w:val="hour_pm"/>
    <w:basedOn w:val="14"/>
    <w:autoRedefine/>
    <w:qFormat/>
    <w:uiPriority w:val="0"/>
  </w:style>
  <w:style w:type="character" w:customStyle="1" w:styleId="29">
    <w:name w:val="disabled"/>
    <w:qFormat/>
    <w:uiPriority w:val="0"/>
    <w:rPr>
      <w:color w:val="999999"/>
    </w:rPr>
  </w:style>
  <w:style w:type="character" w:customStyle="1" w:styleId="30">
    <w:name w:val="hover6"/>
    <w:qFormat/>
    <w:uiPriority w:val="0"/>
    <w:rPr>
      <w:shd w:val="clear" w:color="auto" w:fill="EEEEEE"/>
    </w:rPr>
  </w:style>
  <w:style w:type="character" w:customStyle="1" w:styleId="31">
    <w:name w:val="old"/>
    <w:qFormat/>
    <w:uiPriority w:val="0"/>
    <w:rPr>
      <w:color w:val="999999"/>
    </w:rPr>
  </w:style>
  <w:style w:type="character" w:customStyle="1" w:styleId="32">
    <w:name w:val="active3"/>
    <w:qFormat/>
    <w:uiPriority w:val="0"/>
    <w:rPr>
      <w:color w:val="FFFFFF"/>
      <w:shd w:val="clear" w:color="auto" w:fill="006DCC"/>
    </w:rPr>
  </w:style>
  <w:style w:type="character" w:customStyle="1" w:styleId="33">
    <w:name w:val="hour_am"/>
    <w:basedOn w:val="14"/>
    <w:qFormat/>
    <w:uiPriority w:val="0"/>
  </w:style>
  <w:style w:type="character" w:customStyle="1" w:styleId="34">
    <w:name w:val="font2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35">
    <w:name w:val="页眉 Char"/>
    <w:basedOn w:val="14"/>
    <w:link w:val="10"/>
    <w:qFormat/>
    <w:uiPriority w:val="0"/>
    <w:rPr>
      <w:rFonts w:ascii="Calibri" w:hAnsi="Calibri" w:cs="黑体"/>
      <w:kern w:val="2"/>
      <w:sz w:val="18"/>
      <w:szCs w:val="18"/>
    </w:rPr>
  </w:style>
  <w:style w:type="character" w:customStyle="1" w:styleId="36">
    <w:name w:val="批注框文本 Char1"/>
    <w:basedOn w:val="14"/>
    <w:link w:val="8"/>
    <w:qFormat/>
    <w:uiPriority w:val="0"/>
    <w:rPr>
      <w:rFonts w:ascii="Calibri" w:hAnsi="Calibri" w:cs="黑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ColorStyle" Target="colors2.xml"/><Relationship Id="rId2" Type="http://schemas.microsoft.com/office/2011/relationships/chartStyle" Target="style2.xml"/><Relationship Id="rId1" Type="http://schemas.openxmlformats.org/officeDocument/2006/relationships/package" Target="../embeddings/Workbook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0342105263158"/>
          <c:y val="0.0423076923076923"/>
          <c:w val="0.834315789473684"/>
          <c:h val="0.777576923076923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地区生产总值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Sheet1!$A$2:$A$7</c:f>
              <c:numCache>
                <c:formatCode>General</c:formatCode>
                <c:ptCount val="6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  <c:pt idx="5">
                  <c:v>2023</c:v>
                </c:pt>
              </c:numCache>
            </c:numRef>
          </c:cat>
          <c:val>
            <c:numRef>
              <c:f>Sheet1!$B$2:$B$7</c:f>
              <c:numCache>
                <c:formatCode>General</c:formatCode>
                <c:ptCount val="6"/>
                <c:pt idx="0">
                  <c:v>2352133</c:v>
                </c:pt>
                <c:pt idx="1">
                  <c:v>2708110</c:v>
                </c:pt>
                <c:pt idx="2">
                  <c:v>2823744</c:v>
                </c:pt>
                <c:pt idx="3">
                  <c:v>3040695</c:v>
                </c:pt>
                <c:pt idx="4">
                  <c:v>3033466</c:v>
                </c:pt>
                <c:pt idx="5">
                  <c:v>3106030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75"/>
        <c:overlap val="0"/>
        <c:axId val="489900882"/>
        <c:axId val="885755445"/>
      </c:barChart>
      <c:lineChart>
        <c:grouping val="standard"/>
        <c:varyColors val="0"/>
        <c:ser>
          <c:idx val="1"/>
          <c:order val="1"/>
          <c:tx>
            <c:strRef>
              <c:f>Sheet1!$C$1</c:f>
              <c:strCache>
                <c:ptCount val="1"/>
                <c:pt idx="0">
                  <c:v>增长速度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  <a:headEnd type="oval"/>
              <a:tailEnd type="oval"/>
            </a:ln>
            <a:effectLst/>
          </c:spPr>
          <c:marker>
            <c:symbol val="none"/>
          </c:marker>
          <c:dPt>
            <c:idx val="0"/>
            <c:marker>
              <c:symbol val="none"/>
            </c:marker>
            <c:bubble3D val="0"/>
            <c:spPr>
              <a:ln w="25400" cap="flat" cmpd="sng" algn="ctr">
                <a:solidFill>
                  <a:schemeClr val="accent2">
                    <a:shade val="50000"/>
                  </a:schemeClr>
                </a:solidFill>
                <a:prstDash val="solid"/>
                <a:round/>
                <a:headEnd type="oval"/>
                <a:tailEnd type="oval"/>
              </a:ln>
              <a:effectLst/>
              <a:sp3d>
                <a:extrusionClr>
                  <a:srgbClr val="FFFFFF"/>
                </a:extrusionClr>
                <a:contourClr>
                  <a:srgbClr val="FFFFFF"/>
                </a:contourClr>
              </a:sp3d>
            </c:spPr>
          </c:dPt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900" b="1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Sheet1!$A$2:$A$7</c:f>
              <c:numCache>
                <c:formatCode>General</c:formatCode>
                <c:ptCount val="6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  <c:pt idx="5">
                  <c:v>2023</c:v>
                </c:pt>
              </c:numCache>
            </c:numRef>
          </c:cat>
          <c:val>
            <c:numRef>
              <c:f>Sheet1!$C$2:$C$7</c:f>
              <c:numCache>
                <c:formatCode>General</c:formatCode>
                <c:ptCount val="6"/>
                <c:pt idx="0">
                  <c:v>8.4</c:v>
                </c:pt>
                <c:pt idx="1">
                  <c:v>7.9</c:v>
                </c:pt>
                <c:pt idx="2">
                  <c:v>2.4</c:v>
                </c:pt>
                <c:pt idx="3">
                  <c:v>7.2</c:v>
                </c:pt>
                <c:pt idx="4">
                  <c:v>5.1</c:v>
                </c:pt>
                <c:pt idx="5">
                  <c:v>5.7</c:v>
                </c:pt>
              </c:numCache>
            </c:numRef>
          </c:val>
          <c:smooth val="0"/>
        </c:ser>
        <c:dLbls>
          <c:showLegendKey val="0"/>
          <c:showVal val="1"/>
          <c:showCatName val="0"/>
          <c:showSerName val="0"/>
          <c:showPercent val="0"/>
          <c:showBubbleSize val="0"/>
        </c:dLbls>
        <c:marker val="0"/>
        <c:smooth val="0"/>
        <c:axId val="840777380"/>
        <c:axId val="144692619"/>
      </c:lineChart>
      <c:catAx>
        <c:axId val="489900882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85755445"/>
        <c:crosses val="autoZero"/>
        <c:auto val="1"/>
        <c:lblAlgn val="ctr"/>
        <c:lblOffset val="100"/>
        <c:noMultiLvlLbl val="0"/>
      </c:catAx>
      <c:valAx>
        <c:axId val="885755445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489900882"/>
        <c:crosses val="autoZero"/>
        <c:crossBetween val="between"/>
      </c:valAx>
      <c:catAx>
        <c:axId val="840777380"/>
        <c:scaling>
          <c:orientation val="minMax"/>
        </c:scaling>
        <c:delete val="1"/>
        <c:axPos val="b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44692619"/>
        <c:crosses val="autoZero"/>
        <c:auto val="1"/>
        <c:lblAlgn val="ctr"/>
        <c:lblOffset val="100"/>
        <c:noMultiLvlLbl val="0"/>
      </c:catAx>
      <c:valAx>
        <c:axId val="144692619"/>
        <c:scaling>
          <c:orientation val="minMax"/>
          <c:max val="18"/>
        </c:scaling>
        <c:delete val="0"/>
        <c:axPos val="r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40777380"/>
        <c:crosses val="max"/>
        <c:crossBetween val="between"/>
      </c:valAx>
      <c:spPr>
        <a:noFill/>
        <a:ln>
          <a:noFill/>
        </a:ln>
        <a:effectLst/>
      </c:spPr>
    </c:plotArea>
    <c:legend>
      <c:legendPos val="b"/>
      <c:legendEntry>
        <c:idx val="0"/>
        <c:txPr>
          <a:bodyPr rot="0" spcFirstLastPara="0" vertOverflow="ellipsis" vert="horz" wrap="square" anchor="ctr" anchorCtr="1"/>
          <a:lstStyle/>
          <a:p>
            <a:pPr>
              <a:defRPr lang="zh-CN"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</c:legendEntry>
      <c:legendEntry>
        <c:idx val="1"/>
        <c:txPr>
          <a:bodyPr rot="0" spcFirstLastPara="0" vertOverflow="ellipsis" vert="horz" wrap="square" anchor="ctr" anchorCtr="1"/>
          <a:lstStyle/>
          <a:p>
            <a:pPr>
              <a:defRPr lang="zh-CN" sz="9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</c:legendEntry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 b="1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粮食总产量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0" vertOverflow="ellipsis" vert="horz" wrap="square" lIns="38100" tIns="19050" rIns="38100" bIns="19050" anchor="ctr" anchorCtr="1"/>
              <a:lstStyle/>
              <a:p>
                <a:pPr>
                  <a:defRPr lang="zh-CN" sz="10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layout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Sheet1!$A$2:$A$8</c:f>
              <c:numCache>
                <c:formatCode>General</c:formatCode>
                <c:ptCount val="7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  <c:pt idx="6">
                  <c:v>2023</c:v>
                </c:pt>
              </c:numCache>
            </c:numRef>
          </c:cat>
          <c:val>
            <c:numRef>
              <c:f>Sheet1!$B$2:$B$8</c:f>
              <c:numCache>
                <c:formatCode>General</c:formatCode>
                <c:ptCount val="7"/>
                <c:pt idx="0">
                  <c:v>100.06</c:v>
                </c:pt>
                <c:pt idx="1">
                  <c:v>103.68</c:v>
                </c:pt>
                <c:pt idx="2">
                  <c:v>104.27</c:v>
                </c:pt>
                <c:pt idx="3">
                  <c:v>102.54</c:v>
                </c:pt>
                <c:pt idx="4">
                  <c:v>101.99</c:v>
                </c:pt>
                <c:pt idx="5">
                  <c:v>103.09</c:v>
                </c:pt>
                <c:pt idx="6">
                  <c:v>99.68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75"/>
        <c:overlap val="-25"/>
        <c:axId val="134431568"/>
        <c:axId val="351837629"/>
      </c:barChart>
      <c:catAx>
        <c:axId val="134431568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51837629"/>
        <c:crosses val="autoZero"/>
        <c:auto val="1"/>
        <c:lblAlgn val="ctr"/>
        <c:lblOffset val="100"/>
        <c:noMultiLvlLbl val="0"/>
      </c:catAx>
      <c:valAx>
        <c:axId val="35183762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lt1">
                  <a:lumMod val="902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344315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2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100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10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10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>
      <cs:styleClr val="auto"/>
    </cs:lnRef>
    <cs:fillRef idx="1">
      <cs:styleClr val="auto"/>
    </cs:fillRef>
    <cs:effectRef idx="0"/>
    <cs:fontRef idx="minor">
      <a:schemeClr val="dk1"/>
    </cs:fontRef>
    <cs:spPr>
      <a:ln>
        <a:noFill/>
      </a:ln>
      <a:effectLst/>
    </cs:spPr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02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75000"/>
        <a:lumOff val="25000"/>
      </a:schemeClr>
    </cs:fontRef>
    <cs:defRPr sz="1400" b="1" kern="120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8</Pages>
  <Words>3210</Words>
  <Characters>4173</Characters>
  <Lines>1</Lines>
  <Paragraphs>1</Paragraphs>
  <TotalTime>298</TotalTime>
  <ScaleCrop>false</ScaleCrop>
  <LinksUpToDate>false</LinksUpToDate>
  <CharactersWithSpaces>4332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2022-04-01T10:43:00Z</dcterms:created>
  <dc:creator>Administrator</dc:creator>
  <cp:lastModifiedBy>莲叶何田田</cp:lastModifiedBy>
  <cp:lastPrinted>2022-04-19T22:53:00Z</cp:lastPrinted>
  <dcterms:modified xsi:type="dcterms:W3CDTF">2024-08-01T09:10:25Z</dcterms:modified>
  <dc:title>A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FD64B544AF7046DA803115667C644E98_13</vt:lpwstr>
  </property>
</Properties>
</file>